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1E" w:rsidRDefault="0085391E" w:rsidP="0085391E">
      <w:pPr>
        <w:tabs>
          <w:tab w:val="left" w:pos="3119"/>
          <w:tab w:val="left" w:pos="3261"/>
        </w:tabs>
        <w:ind w:right="6378"/>
        <w:jc w:val="both"/>
        <w:rPr>
          <w:b/>
        </w:rPr>
      </w:pPr>
    </w:p>
    <w:p w:rsidR="0085391E" w:rsidRDefault="0085391E" w:rsidP="0085391E">
      <w:pPr>
        <w:contextualSpacing/>
        <w:jc w:val="both"/>
        <w:rPr>
          <w:rFonts w:ascii="Calibri" w:hAnsi="Calibri"/>
          <w:color w:val="000000"/>
          <w:lang w:eastAsia="uk-UA"/>
        </w:rPr>
      </w:pPr>
    </w:p>
    <w:p w:rsidR="0085391E" w:rsidRDefault="0085391E" w:rsidP="0085391E">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85391E" w:rsidRDefault="0085391E" w:rsidP="0085391E">
      <w:pPr>
        <w:spacing w:after="60"/>
        <w:jc w:val="center"/>
        <w:rPr>
          <w:rFonts w:ascii="AcademyC" w:hAnsi="AcademyC"/>
          <w:b/>
          <w:color w:val="002060"/>
        </w:rPr>
      </w:pPr>
      <w:r>
        <w:rPr>
          <w:rFonts w:ascii="AcademyC" w:hAnsi="AcademyC"/>
          <w:b/>
          <w:color w:val="002060"/>
        </w:rPr>
        <w:t>ВИЩА  РАДА  ПРАВОСУДДЯ</w:t>
      </w:r>
    </w:p>
    <w:p w:rsidR="0085391E" w:rsidRDefault="0085391E" w:rsidP="0085391E">
      <w:pPr>
        <w:spacing w:after="240"/>
        <w:jc w:val="center"/>
        <w:rPr>
          <w:rFonts w:ascii="AcademyC" w:hAnsi="AcademyC"/>
          <w:b/>
          <w:color w:val="002060"/>
        </w:rPr>
      </w:pPr>
      <w:r>
        <w:rPr>
          <w:rFonts w:ascii="AcademyC" w:hAnsi="AcademyC"/>
          <w:b/>
          <w:color w:val="002060"/>
        </w:rPr>
        <w:t>РІШЕННЯ</w:t>
      </w:r>
    </w:p>
    <w:tbl>
      <w:tblPr>
        <w:tblW w:w="12672" w:type="dxa"/>
        <w:tblLook w:val="04A0"/>
      </w:tblPr>
      <w:tblGrid>
        <w:gridCol w:w="3369"/>
        <w:gridCol w:w="2550"/>
        <w:gridCol w:w="993"/>
        <w:gridCol w:w="5760"/>
      </w:tblGrid>
      <w:tr w:rsidR="0085391E" w:rsidTr="00DE3321">
        <w:trPr>
          <w:trHeight w:val="188"/>
        </w:trPr>
        <w:tc>
          <w:tcPr>
            <w:tcW w:w="3369" w:type="dxa"/>
            <w:hideMark/>
          </w:tcPr>
          <w:p w:rsidR="0085391E" w:rsidRPr="00145AA1" w:rsidRDefault="0085391E" w:rsidP="00DE3321">
            <w:pPr>
              <w:ind w:right="-2"/>
              <w:rPr>
                <w:b/>
                <w:noProof/>
                <w:color w:val="000000"/>
                <w:sz w:val="27"/>
                <w:szCs w:val="27"/>
              </w:rPr>
            </w:pPr>
            <w:r>
              <w:rPr>
                <w:b/>
                <w:noProof/>
                <w:color w:val="000000"/>
                <w:sz w:val="27"/>
                <w:szCs w:val="27"/>
              </w:rPr>
              <w:t>14 січня 2020</w:t>
            </w:r>
            <w:r w:rsidRPr="00145AA1">
              <w:rPr>
                <w:b/>
                <w:noProof/>
                <w:color w:val="000000"/>
                <w:sz w:val="27"/>
                <w:szCs w:val="27"/>
              </w:rPr>
              <w:t xml:space="preserve"> року </w:t>
            </w:r>
          </w:p>
        </w:tc>
        <w:tc>
          <w:tcPr>
            <w:tcW w:w="3543" w:type="dxa"/>
            <w:gridSpan w:val="2"/>
            <w:hideMark/>
          </w:tcPr>
          <w:p w:rsidR="0085391E" w:rsidRPr="00145AA1" w:rsidRDefault="0085391E" w:rsidP="00DE3321">
            <w:pPr>
              <w:ind w:right="-2" w:hanging="109"/>
              <w:jc w:val="center"/>
              <w:rPr>
                <w:b/>
                <w:noProof/>
                <w:color w:val="000000"/>
                <w:sz w:val="27"/>
                <w:szCs w:val="27"/>
              </w:rPr>
            </w:pPr>
            <w:r w:rsidRPr="00145AA1">
              <w:rPr>
                <w:b/>
                <w:color w:val="000000"/>
                <w:sz w:val="27"/>
                <w:szCs w:val="27"/>
              </w:rPr>
              <w:t>Київ</w:t>
            </w:r>
          </w:p>
        </w:tc>
        <w:tc>
          <w:tcPr>
            <w:tcW w:w="5760" w:type="dxa"/>
            <w:hideMark/>
          </w:tcPr>
          <w:p w:rsidR="0085391E" w:rsidRPr="00145AA1" w:rsidRDefault="0085391E" w:rsidP="00DE3321">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sidRPr="00145AA1">
              <w:rPr>
                <w:b/>
                <w:color w:val="000000"/>
                <w:sz w:val="27"/>
                <w:szCs w:val="27"/>
              </w:rPr>
              <w:t xml:space="preserve"> №</w:t>
            </w:r>
            <w:r>
              <w:rPr>
                <w:b/>
                <w:color w:val="000000"/>
                <w:sz w:val="27"/>
                <w:szCs w:val="27"/>
              </w:rPr>
              <w:t xml:space="preserve"> </w:t>
            </w:r>
            <w:r>
              <w:rPr>
                <w:b/>
                <w:szCs w:val="28"/>
              </w:rPr>
              <w:t>52</w:t>
            </w:r>
            <w:r w:rsidRPr="005A48FA">
              <w:rPr>
                <w:b/>
                <w:szCs w:val="28"/>
              </w:rPr>
              <w:t>/0/15-</w:t>
            </w:r>
            <w:r>
              <w:rPr>
                <w:b/>
                <w:szCs w:val="28"/>
              </w:rPr>
              <w:t>20</w:t>
            </w:r>
            <w:r>
              <w:rPr>
                <w:szCs w:val="28"/>
              </w:rPr>
              <w:t xml:space="preserve"> </w:t>
            </w:r>
            <w:r w:rsidRPr="00C85FE9">
              <w:rPr>
                <w:szCs w:val="28"/>
              </w:rPr>
              <w:t xml:space="preserve"> </w:t>
            </w:r>
          </w:p>
        </w:tc>
      </w:tr>
      <w:tr w:rsidR="0085391E" w:rsidTr="00DE3321">
        <w:trPr>
          <w:gridAfter w:val="2"/>
          <w:wAfter w:w="6753" w:type="dxa"/>
        </w:trPr>
        <w:tc>
          <w:tcPr>
            <w:tcW w:w="5919" w:type="dxa"/>
            <w:gridSpan w:val="2"/>
            <w:hideMark/>
          </w:tcPr>
          <w:p w:rsidR="0085391E" w:rsidRDefault="0085391E" w:rsidP="00DE3321">
            <w:pPr>
              <w:spacing w:line="240" w:lineRule="auto"/>
              <w:ind w:firstLine="851"/>
              <w:rPr>
                <w:b/>
                <w:sz w:val="24"/>
                <w:szCs w:val="24"/>
              </w:rPr>
            </w:pPr>
            <w:bookmarkStart w:id="0" w:name="OLE_LINK46"/>
            <w:bookmarkStart w:id="1" w:name="OLE_LINK47"/>
            <w:bookmarkEnd w:id="0"/>
            <w:bookmarkEnd w:id="1"/>
          </w:p>
        </w:tc>
      </w:tr>
    </w:tbl>
    <w:tbl>
      <w:tblPr>
        <w:tblpPr w:leftFromText="180" w:rightFromText="180" w:vertAnchor="text" w:horzAnchor="margin" w:tblpY="131"/>
        <w:tblW w:w="9747" w:type="dxa"/>
        <w:tblCellMar>
          <w:left w:w="10" w:type="dxa"/>
          <w:right w:w="10" w:type="dxa"/>
        </w:tblCellMar>
        <w:tblLook w:val="04A0"/>
      </w:tblPr>
      <w:tblGrid>
        <w:gridCol w:w="4786"/>
        <w:gridCol w:w="4961"/>
      </w:tblGrid>
      <w:tr w:rsidR="0085391E" w:rsidRPr="00CC6E39" w:rsidTr="00DE3321">
        <w:tc>
          <w:tcPr>
            <w:tcW w:w="4786" w:type="dxa"/>
            <w:shd w:val="clear" w:color="auto" w:fill="auto"/>
            <w:tcMar>
              <w:top w:w="0" w:type="dxa"/>
              <w:left w:w="108" w:type="dxa"/>
              <w:bottom w:w="0" w:type="dxa"/>
              <w:right w:w="108" w:type="dxa"/>
            </w:tcMar>
          </w:tcPr>
          <w:p w:rsidR="0085391E" w:rsidRDefault="0085391E" w:rsidP="003F1880">
            <w:pPr>
              <w:widowControl w:val="0"/>
              <w:suppressAutoHyphens/>
              <w:spacing w:after="0" w:line="240" w:lineRule="auto"/>
              <w:ind w:right="-290"/>
              <w:rPr>
                <w:rFonts w:eastAsia="Lucida Sans Unicode" w:cs="Times New Roman"/>
                <w:b/>
                <w:kern w:val="2"/>
                <w:sz w:val="24"/>
                <w:szCs w:val="24"/>
                <w:lang w:val="ru-RU" w:eastAsia="hi-IN" w:bidi="hi-IN"/>
              </w:rPr>
            </w:pPr>
            <w:r w:rsidRPr="00AB3B07">
              <w:rPr>
                <w:rFonts w:eastAsia="Lucida Sans Unicode" w:cs="Times New Roman"/>
                <w:b/>
                <w:kern w:val="2"/>
                <w:sz w:val="24"/>
                <w:szCs w:val="24"/>
                <w:lang w:val="ru-RU" w:eastAsia="hi-IN" w:bidi="hi-IN"/>
              </w:rPr>
              <w:t xml:space="preserve">Про </w:t>
            </w:r>
            <w:proofErr w:type="spellStart"/>
            <w:r w:rsidRPr="00AB3B07">
              <w:rPr>
                <w:rFonts w:eastAsia="Lucida Sans Unicode" w:cs="Times New Roman"/>
                <w:b/>
                <w:kern w:val="2"/>
                <w:sz w:val="24"/>
                <w:szCs w:val="24"/>
                <w:lang w:val="ru-RU" w:eastAsia="hi-IN" w:bidi="hi-IN"/>
              </w:rPr>
              <w:t>надання</w:t>
            </w:r>
            <w:proofErr w:type="spellEnd"/>
            <w:r w:rsidRPr="00AB3B07">
              <w:rPr>
                <w:rFonts w:eastAsia="Lucida Sans Unicode" w:cs="Times New Roman"/>
                <w:b/>
                <w:kern w:val="2"/>
                <w:sz w:val="24"/>
                <w:szCs w:val="24"/>
                <w:lang w:val="ru-RU" w:eastAsia="hi-IN" w:bidi="hi-IN"/>
              </w:rPr>
              <w:t xml:space="preserve"> консультативного </w:t>
            </w:r>
            <w:proofErr w:type="spellStart"/>
            <w:r w:rsidRPr="00AB3B07">
              <w:rPr>
                <w:rFonts w:eastAsia="Lucida Sans Unicode" w:cs="Times New Roman"/>
                <w:b/>
                <w:kern w:val="2"/>
                <w:sz w:val="24"/>
                <w:szCs w:val="24"/>
                <w:lang w:val="ru-RU" w:eastAsia="hi-IN" w:bidi="hi-IN"/>
              </w:rPr>
              <w:t>висновку</w:t>
            </w:r>
            <w:proofErr w:type="spellEnd"/>
            <w:r w:rsidRPr="00AB3B07">
              <w:rPr>
                <w:rFonts w:eastAsia="Lucida Sans Unicode" w:cs="Times New Roman"/>
                <w:b/>
                <w:kern w:val="2"/>
                <w:sz w:val="24"/>
                <w:szCs w:val="24"/>
                <w:lang w:val="ru-RU" w:eastAsia="hi-IN" w:bidi="hi-IN"/>
              </w:rPr>
              <w:t xml:space="preserve"> </w:t>
            </w:r>
          </w:p>
          <w:p w:rsidR="0085391E" w:rsidRPr="00AB3B07" w:rsidRDefault="0085391E" w:rsidP="003F1880">
            <w:pPr>
              <w:widowControl w:val="0"/>
              <w:suppressAutoHyphens/>
              <w:spacing w:after="0" w:line="240" w:lineRule="auto"/>
              <w:ind w:right="-290"/>
              <w:rPr>
                <w:rFonts w:eastAsia="Lucida Sans Unicode" w:cs="Times New Roman"/>
                <w:b/>
                <w:kern w:val="2"/>
                <w:sz w:val="24"/>
                <w:szCs w:val="24"/>
                <w:lang w:val="ru-RU" w:eastAsia="hi-IN" w:bidi="hi-IN"/>
              </w:rPr>
            </w:pPr>
            <w:proofErr w:type="gramStart"/>
            <w:r w:rsidRPr="00AB3B07">
              <w:rPr>
                <w:rFonts w:eastAsia="Lucida Sans Unicode" w:cs="Times New Roman"/>
                <w:b/>
                <w:kern w:val="2"/>
                <w:sz w:val="24"/>
                <w:szCs w:val="24"/>
                <w:lang w:val="ru-RU" w:eastAsia="hi-IN" w:bidi="hi-IN"/>
              </w:rPr>
              <w:t>до</w:t>
            </w:r>
            <w:proofErr w:type="gramEnd"/>
            <w:r w:rsidRPr="00AB3B07">
              <w:rPr>
                <w:rFonts w:eastAsia="Lucida Sans Unicode" w:cs="Times New Roman"/>
                <w:b/>
                <w:kern w:val="2"/>
                <w:sz w:val="24"/>
                <w:szCs w:val="24"/>
                <w:lang w:val="ru-RU" w:eastAsia="hi-IN" w:bidi="hi-IN"/>
              </w:rPr>
              <w:t xml:space="preserve"> законопроекту №</w:t>
            </w:r>
            <w:r w:rsidRPr="00AB3B07">
              <w:rPr>
                <w:rFonts w:eastAsia="Lucida Sans Unicode" w:cs="Times New Roman"/>
                <w:b/>
                <w:kern w:val="2"/>
                <w:sz w:val="24"/>
                <w:szCs w:val="24"/>
                <w:lang w:eastAsia="hi-IN" w:bidi="hi-IN"/>
              </w:rPr>
              <w:t xml:space="preserve"> </w:t>
            </w:r>
            <w:r w:rsidRPr="00AB3B07">
              <w:rPr>
                <w:rFonts w:eastAsia="Lucida Sans Unicode" w:cs="Times New Roman"/>
                <w:b/>
                <w:kern w:val="2"/>
                <w:sz w:val="24"/>
                <w:szCs w:val="24"/>
                <w:lang w:val="ru-RU" w:eastAsia="hi-IN" w:bidi="hi-IN"/>
              </w:rPr>
              <w:t>2</w:t>
            </w:r>
            <w:r>
              <w:rPr>
                <w:rFonts w:eastAsia="Lucida Sans Unicode" w:cs="Times New Roman"/>
                <w:b/>
                <w:kern w:val="2"/>
                <w:sz w:val="24"/>
                <w:szCs w:val="24"/>
                <w:lang w:val="ru-RU" w:eastAsia="hi-IN" w:bidi="hi-IN"/>
              </w:rPr>
              <w:t>536</w:t>
            </w:r>
          </w:p>
        </w:tc>
        <w:tc>
          <w:tcPr>
            <w:tcW w:w="4961" w:type="dxa"/>
            <w:shd w:val="clear" w:color="auto" w:fill="auto"/>
            <w:tcMar>
              <w:top w:w="0" w:type="dxa"/>
              <w:left w:w="108" w:type="dxa"/>
              <w:bottom w:w="0" w:type="dxa"/>
              <w:right w:w="108" w:type="dxa"/>
            </w:tcMar>
          </w:tcPr>
          <w:p w:rsidR="0085391E" w:rsidRDefault="0085391E" w:rsidP="00DE3321">
            <w:pPr>
              <w:pStyle w:val="a3"/>
              <w:rPr>
                <w:b/>
                <w:i/>
                <w:sz w:val="24"/>
                <w:szCs w:val="24"/>
              </w:rPr>
            </w:pPr>
          </w:p>
        </w:tc>
      </w:tr>
    </w:tbl>
    <w:tbl>
      <w:tblPr>
        <w:tblW w:w="0" w:type="auto"/>
        <w:tblLayout w:type="fixed"/>
        <w:tblLook w:val="04A0"/>
      </w:tblPr>
      <w:tblGrid>
        <w:gridCol w:w="4644"/>
        <w:gridCol w:w="4077"/>
      </w:tblGrid>
      <w:tr w:rsidR="0085391E" w:rsidRPr="00AB3B07" w:rsidTr="00DE3321">
        <w:tc>
          <w:tcPr>
            <w:tcW w:w="4644" w:type="dxa"/>
            <w:hideMark/>
          </w:tcPr>
          <w:p w:rsidR="0085391E" w:rsidRPr="00AB3B07" w:rsidRDefault="0085391E" w:rsidP="00DE3321">
            <w:pPr>
              <w:widowControl w:val="0"/>
              <w:suppressAutoHyphens/>
              <w:spacing w:after="0" w:line="240" w:lineRule="auto"/>
              <w:ind w:right="-290"/>
              <w:rPr>
                <w:rFonts w:eastAsia="Lucida Sans Unicode" w:cs="Times New Roman"/>
                <w:b/>
                <w:kern w:val="2"/>
                <w:sz w:val="24"/>
                <w:szCs w:val="24"/>
                <w:lang w:val="ru-RU" w:eastAsia="hi-IN" w:bidi="hi-IN"/>
              </w:rPr>
            </w:pPr>
          </w:p>
        </w:tc>
        <w:tc>
          <w:tcPr>
            <w:tcW w:w="4077" w:type="dxa"/>
          </w:tcPr>
          <w:p w:rsidR="0085391E" w:rsidRPr="00AB3B07" w:rsidRDefault="0085391E" w:rsidP="00DE3321">
            <w:pPr>
              <w:widowControl w:val="0"/>
              <w:suppressAutoHyphens/>
              <w:spacing w:after="0" w:line="240" w:lineRule="auto"/>
              <w:rPr>
                <w:rFonts w:eastAsia="Lucida Sans Unicode" w:cs="Times New Roman"/>
                <w:kern w:val="2"/>
                <w:sz w:val="24"/>
                <w:szCs w:val="24"/>
                <w:lang w:val="ru-RU" w:eastAsia="hi-IN" w:bidi="hi-IN"/>
              </w:rPr>
            </w:pPr>
          </w:p>
        </w:tc>
      </w:tr>
      <w:tr w:rsidR="0085391E" w:rsidRPr="00AB3B07" w:rsidTr="00DE3321">
        <w:tc>
          <w:tcPr>
            <w:tcW w:w="4644" w:type="dxa"/>
            <w:hideMark/>
          </w:tcPr>
          <w:p w:rsidR="0085391E" w:rsidRPr="00AB3B07" w:rsidRDefault="0085391E" w:rsidP="00DE3321">
            <w:pPr>
              <w:widowControl w:val="0"/>
              <w:suppressAutoHyphens/>
              <w:spacing w:after="0" w:line="240" w:lineRule="auto"/>
              <w:ind w:right="-290"/>
              <w:rPr>
                <w:rFonts w:eastAsia="Lucida Sans Unicode" w:cs="Times New Roman"/>
                <w:b/>
                <w:kern w:val="2"/>
                <w:sz w:val="24"/>
                <w:szCs w:val="24"/>
                <w:lang w:val="ru-RU" w:eastAsia="hi-IN" w:bidi="hi-IN"/>
              </w:rPr>
            </w:pPr>
          </w:p>
        </w:tc>
        <w:tc>
          <w:tcPr>
            <w:tcW w:w="4077" w:type="dxa"/>
          </w:tcPr>
          <w:p w:rsidR="0085391E" w:rsidRPr="00AB3B07" w:rsidRDefault="0085391E" w:rsidP="00DE3321">
            <w:pPr>
              <w:widowControl w:val="0"/>
              <w:suppressAutoHyphens/>
              <w:spacing w:after="0" w:line="240" w:lineRule="auto"/>
              <w:rPr>
                <w:rFonts w:eastAsia="Lucida Sans Unicode" w:cs="Times New Roman"/>
                <w:kern w:val="2"/>
                <w:sz w:val="24"/>
                <w:szCs w:val="24"/>
                <w:lang w:val="ru-RU" w:eastAsia="hi-IN" w:bidi="hi-IN"/>
              </w:rPr>
            </w:pPr>
          </w:p>
        </w:tc>
      </w:tr>
    </w:tbl>
    <w:p w:rsidR="0085391E" w:rsidRPr="00C55E79" w:rsidRDefault="0085391E" w:rsidP="0085391E">
      <w:pPr>
        <w:spacing w:after="0" w:line="240" w:lineRule="auto"/>
        <w:ind w:firstLine="567"/>
        <w:contextualSpacing/>
        <w:jc w:val="both"/>
        <w:rPr>
          <w:rFonts w:cs="Times New Roman"/>
          <w:szCs w:val="28"/>
        </w:rPr>
      </w:pPr>
      <w:r w:rsidRPr="00C55E79">
        <w:rPr>
          <w:rFonts w:cs="Times New Roman"/>
          <w:szCs w:val="28"/>
        </w:rPr>
        <w:t xml:space="preserve">Вища рада правосуддя розглянула проект Закону України «Про внесення змін до Закону України  «Про Вищу раду правосуддя» щодо визначення порядку обрання (призначення) на посади членів Вищої ради правосуддя» від 5 грудня 2019 року, реєстраційний  № 2536, внесений на розгляд Верховної Ради України у порядку законодавчої ініціативи народними депутатами України </w:t>
      </w:r>
      <w:r>
        <w:rPr>
          <w:rFonts w:cs="Times New Roman"/>
          <w:szCs w:val="28"/>
        </w:rPr>
        <w:t xml:space="preserve">  </w:t>
      </w:r>
      <w:proofErr w:type="spellStart"/>
      <w:r w:rsidRPr="00C55E79">
        <w:rPr>
          <w:rFonts w:cs="Times New Roman"/>
          <w:szCs w:val="28"/>
        </w:rPr>
        <w:t>Юрчишиним</w:t>
      </w:r>
      <w:proofErr w:type="spellEnd"/>
      <w:r w:rsidRPr="00C55E79">
        <w:rPr>
          <w:rFonts w:cs="Times New Roman"/>
          <w:szCs w:val="28"/>
        </w:rPr>
        <w:t xml:space="preserve"> Я.Р., Макаровим О.А., </w:t>
      </w:r>
      <w:proofErr w:type="spellStart"/>
      <w:r w:rsidRPr="00C55E79">
        <w:rPr>
          <w:rFonts w:cs="Times New Roman"/>
          <w:szCs w:val="28"/>
        </w:rPr>
        <w:t>Рахманіним</w:t>
      </w:r>
      <w:proofErr w:type="spellEnd"/>
      <w:r w:rsidRPr="00C55E79">
        <w:rPr>
          <w:rFonts w:cs="Times New Roman"/>
          <w:szCs w:val="28"/>
        </w:rPr>
        <w:t xml:space="preserve"> С.І., </w:t>
      </w:r>
      <w:proofErr w:type="spellStart"/>
      <w:r w:rsidRPr="00C55E79">
        <w:rPr>
          <w:rFonts w:cs="Times New Roman"/>
          <w:szCs w:val="28"/>
        </w:rPr>
        <w:t>Устіновою</w:t>
      </w:r>
      <w:proofErr w:type="spellEnd"/>
      <w:r w:rsidRPr="00C55E79">
        <w:rPr>
          <w:rFonts w:cs="Times New Roman"/>
          <w:szCs w:val="28"/>
        </w:rPr>
        <w:t xml:space="preserve"> О.Ю., Осадчуком А.П., Рудик К.О., </w:t>
      </w:r>
      <w:proofErr w:type="spellStart"/>
      <w:r w:rsidRPr="00C55E79">
        <w:rPr>
          <w:rFonts w:cs="Times New Roman"/>
          <w:szCs w:val="28"/>
        </w:rPr>
        <w:t>Піпою</w:t>
      </w:r>
      <w:proofErr w:type="spellEnd"/>
      <w:r w:rsidRPr="00C55E79">
        <w:rPr>
          <w:rFonts w:cs="Times New Roman"/>
          <w:szCs w:val="28"/>
        </w:rPr>
        <w:t xml:space="preserve"> Н.Р., Клименко Ю.Л., Лозинськи</w:t>
      </w:r>
      <w:r>
        <w:rPr>
          <w:rFonts w:cs="Times New Roman"/>
          <w:szCs w:val="28"/>
        </w:rPr>
        <w:t>м</w:t>
      </w:r>
      <w:r w:rsidRPr="00C55E79">
        <w:rPr>
          <w:rFonts w:cs="Times New Roman"/>
          <w:szCs w:val="28"/>
        </w:rPr>
        <w:t xml:space="preserve"> Р.М., </w:t>
      </w:r>
      <w:proofErr w:type="spellStart"/>
      <w:r w:rsidRPr="00C55E79">
        <w:rPr>
          <w:rFonts w:cs="Times New Roman"/>
          <w:szCs w:val="28"/>
        </w:rPr>
        <w:t>Стефанишиною</w:t>
      </w:r>
      <w:proofErr w:type="spellEnd"/>
      <w:r w:rsidRPr="00C55E79">
        <w:rPr>
          <w:rFonts w:cs="Times New Roman"/>
          <w:szCs w:val="28"/>
        </w:rPr>
        <w:t xml:space="preserve"> О.А., Васильченко Г.І., Василенко Л.В.</w:t>
      </w:r>
    </w:p>
    <w:p w:rsidR="0085391E" w:rsidRPr="001C2256" w:rsidRDefault="0085391E" w:rsidP="0085391E">
      <w:pPr>
        <w:pStyle w:val="a3"/>
        <w:tabs>
          <w:tab w:val="left" w:pos="567"/>
        </w:tabs>
        <w:jc w:val="both"/>
        <w:rPr>
          <w:rFonts w:cs="Times New Roman"/>
          <w:szCs w:val="28"/>
        </w:rPr>
      </w:pPr>
      <w:r w:rsidRPr="00C55E79">
        <w:rPr>
          <w:rFonts w:cs="Times New Roman"/>
          <w:szCs w:val="28"/>
        </w:rPr>
        <w:tab/>
        <w:t xml:space="preserve"> Пунктом 15 частини першої статті 3 Закону України «Про Вищу</w:t>
      </w:r>
      <w:r w:rsidRPr="001C2256">
        <w:rPr>
          <w:rFonts w:cs="Times New Roman"/>
          <w:szCs w:val="28"/>
        </w:rPr>
        <w:t xml:space="preserve"> раду правосуддя» передбачено, що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85391E" w:rsidRPr="001C2256" w:rsidRDefault="0085391E" w:rsidP="0085391E">
      <w:pPr>
        <w:pStyle w:val="a3"/>
        <w:ind w:firstLine="567"/>
        <w:jc w:val="both"/>
        <w:rPr>
          <w:rFonts w:cs="Times New Roman"/>
          <w:szCs w:val="28"/>
        </w:rPr>
      </w:pPr>
      <w:r w:rsidRPr="001C2256">
        <w:rPr>
          <w:szCs w:val="28"/>
        </w:rPr>
        <w:t xml:space="preserve">Керуючись статтею 131 Конституції України, статтями 3, 34 Закону України «Про Вищу раду правосуддя», Вища рада правосуддя </w:t>
      </w:r>
    </w:p>
    <w:p w:rsidR="0085391E" w:rsidRPr="001C2256" w:rsidRDefault="0085391E" w:rsidP="0085391E">
      <w:pPr>
        <w:spacing w:after="0" w:line="240" w:lineRule="auto"/>
        <w:ind w:firstLine="851"/>
        <w:jc w:val="both"/>
        <w:rPr>
          <w:rFonts w:cs="Times New Roman"/>
          <w:szCs w:val="28"/>
        </w:rPr>
      </w:pPr>
    </w:p>
    <w:p w:rsidR="0085391E" w:rsidRPr="001C2256" w:rsidRDefault="0085391E" w:rsidP="0085391E">
      <w:pPr>
        <w:spacing w:after="0" w:line="240" w:lineRule="auto"/>
        <w:jc w:val="center"/>
        <w:rPr>
          <w:rFonts w:cs="Times New Roman"/>
          <w:b/>
          <w:szCs w:val="28"/>
        </w:rPr>
      </w:pPr>
      <w:r w:rsidRPr="001C2256">
        <w:rPr>
          <w:rFonts w:cs="Times New Roman"/>
          <w:b/>
          <w:szCs w:val="28"/>
        </w:rPr>
        <w:t>вирішила:</w:t>
      </w:r>
    </w:p>
    <w:p w:rsidR="0085391E" w:rsidRPr="001C2256" w:rsidRDefault="0085391E" w:rsidP="0085391E">
      <w:pPr>
        <w:spacing w:after="0" w:line="240" w:lineRule="auto"/>
        <w:ind w:firstLine="851"/>
        <w:jc w:val="center"/>
        <w:rPr>
          <w:rFonts w:cs="Times New Roman"/>
          <w:b/>
          <w:szCs w:val="28"/>
        </w:rPr>
      </w:pPr>
    </w:p>
    <w:p w:rsidR="0085391E" w:rsidRPr="00C55E79" w:rsidRDefault="0085391E" w:rsidP="0085391E">
      <w:pPr>
        <w:spacing w:after="0" w:line="240" w:lineRule="auto"/>
        <w:ind w:firstLine="567"/>
        <w:contextualSpacing/>
        <w:jc w:val="both"/>
        <w:rPr>
          <w:rFonts w:cs="Times New Roman"/>
          <w:szCs w:val="28"/>
        </w:rPr>
      </w:pPr>
      <w:r w:rsidRPr="00384B1F">
        <w:rPr>
          <w:rFonts w:cs="Times New Roman"/>
          <w:szCs w:val="28"/>
        </w:rPr>
        <w:t xml:space="preserve">1. Затвердити консультативний висновок щодо проекту Закону України </w:t>
      </w:r>
      <w:r w:rsidRPr="00C55E79">
        <w:rPr>
          <w:rFonts w:cs="Times New Roman"/>
          <w:szCs w:val="28"/>
        </w:rPr>
        <w:t>«Про внесення змін до Закону України  «Про Вищу раду правосуддя» щодо визначення порядку обрання (призначення) на посади членів Вищої ради правосуддя» від 5 грудня 2019 року,</w:t>
      </w:r>
      <w:r>
        <w:rPr>
          <w:rFonts w:cs="Times New Roman"/>
          <w:szCs w:val="28"/>
        </w:rPr>
        <w:t xml:space="preserve"> реєстраційний </w:t>
      </w:r>
      <w:r w:rsidRPr="00C55E79">
        <w:rPr>
          <w:rFonts w:cs="Times New Roman"/>
          <w:szCs w:val="28"/>
        </w:rPr>
        <w:t>№ 2536</w:t>
      </w:r>
      <w:r>
        <w:rPr>
          <w:rFonts w:cs="Times New Roman"/>
          <w:szCs w:val="28"/>
        </w:rPr>
        <w:t>, внесеного</w:t>
      </w:r>
      <w:r w:rsidRPr="00C55E79">
        <w:rPr>
          <w:rFonts w:cs="Times New Roman"/>
          <w:szCs w:val="28"/>
        </w:rPr>
        <w:t xml:space="preserve"> на розгляд Верховної Ради України у порядку законодавчої ініціативи народними депутатами України </w:t>
      </w:r>
      <w:proofErr w:type="spellStart"/>
      <w:r w:rsidRPr="00C55E79">
        <w:rPr>
          <w:rFonts w:cs="Times New Roman"/>
          <w:szCs w:val="28"/>
        </w:rPr>
        <w:t>Юрчишиним</w:t>
      </w:r>
      <w:proofErr w:type="spellEnd"/>
      <w:r w:rsidRPr="00C55E79">
        <w:rPr>
          <w:rFonts w:cs="Times New Roman"/>
          <w:szCs w:val="28"/>
        </w:rPr>
        <w:t xml:space="preserve"> Я.Р., Макаровим О.А., </w:t>
      </w:r>
      <w:proofErr w:type="spellStart"/>
      <w:r w:rsidRPr="00C55E79">
        <w:rPr>
          <w:rFonts w:cs="Times New Roman"/>
          <w:szCs w:val="28"/>
        </w:rPr>
        <w:t>Рахманіним</w:t>
      </w:r>
      <w:proofErr w:type="spellEnd"/>
      <w:r w:rsidRPr="00C55E79">
        <w:rPr>
          <w:rFonts w:cs="Times New Roman"/>
          <w:szCs w:val="28"/>
        </w:rPr>
        <w:t xml:space="preserve"> С.І., </w:t>
      </w:r>
      <w:proofErr w:type="spellStart"/>
      <w:r w:rsidRPr="00C55E79">
        <w:rPr>
          <w:rFonts w:cs="Times New Roman"/>
          <w:szCs w:val="28"/>
        </w:rPr>
        <w:t>Устіновою</w:t>
      </w:r>
      <w:proofErr w:type="spellEnd"/>
      <w:r w:rsidRPr="00C55E79">
        <w:rPr>
          <w:rFonts w:cs="Times New Roman"/>
          <w:szCs w:val="28"/>
        </w:rPr>
        <w:t xml:space="preserve"> О.Ю., Осадчуком А.П., Рудик К.О., </w:t>
      </w:r>
      <w:proofErr w:type="spellStart"/>
      <w:r w:rsidRPr="00C55E79">
        <w:rPr>
          <w:rFonts w:cs="Times New Roman"/>
          <w:szCs w:val="28"/>
        </w:rPr>
        <w:t>Піпою</w:t>
      </w:r>
      <w:proofErr w:type="spellEnd"/>
      <w:r w:rsidRPr="00C55E79">
        <w:rPr>
          <w:rFonts w:cs="Times New Roman"/>
          <w:szCs w:val="28"/>
        </w:rPr>
        <w:t xml:space="preserve"> Н.Р., Клименко Ю.Л., Лозинськи</w:t>
      </w:r>
      <w:r>
        <w:rPr>
          <w:rFonts w:cs="Times New Roman"/>
          <w:szCs w:val="28"/>
        </w:rPr>
        <w:t>м</w:t>
      </w:r>
      <w:r w:rsidRPr="00C55E79">
        <w:rPr>
          <w:rFonts w:cs="Times New Roman"/>
          <w:szCs w:val="28"/>
        </w:rPr>
        <w:t xml:space="preserve"> Р.М., </w:t>
      </w:r>
      <w:proofErr w:type="spellStart"/>
      <w:r w:rsidRPr="00C55E79">
        <w:rPr>
          <w:rFonts w:cs="Times New Roman"/>
          <w:szCs w:val="28"/>
        </w:rPr>
        <w:t>Стефанишиною</w:t>
      </w:r>
      <w:proofErr w:type="spellEnd"/>
      <w:r w:rsidRPr="00C55E79">
        <w:rPr>
          <w:rFonts w:cs="Times New Roman"/>
          <w:szCs w:val="28"/>
        </w:rPr>
        <w:t xml:space="preserve"> О.А., Васильченко Г.І., Василенко Л.В.</w:t>
      </w:r>
    </w:p>
    <w:p w:rsidR="0085391E" w:rsidRPr="001C2256" w:rsidRDefault="0085391E" w:rsidP="0085391E">
      <w:pPr>
        <w:pStyle w:val="a3"/>
        <w:ind w:firstLine="567"/>
        <w:jc w:val="both"/>
        <w:rPr>
          <w:rFonts w:cs="Times New Roman"/>
          <w:szCs w:val="28"/>
        </w:rPr>
      </w:pPr>
      <w:r w:rsidRPr="001C2256">
        <w:rPr>
          <w:rFonts w:cs="Times New Roman"/>
          <w:szCs w:val="28"/>
        </w:rPr>
        <w:t>2. Надіслати консультативний висновок до Верховної Ради України.</w:t>
      </w:r>
    </w:p>
    <w:p w:rsidR="0085391E" w:rsidRPr="001C2256" w:rsidRDefault="0085391E" w:rsidP="0085391E">
      <w:pPr>
        <w:tabs>
          <w:tab w:val="left" w:pos="9360"/>
        </w:tabs>
        <w:spacing w:after="0" w:line="240" w:lineRule="auto"/>
        <w:ind w:firstLine="851"/>
        <w:jc w:val="both"/>
        <w:rPr>
          <w:rFonts w:cs="Times New Roman"/>
          <w:szCs w:val="28"/>
        </w:rPr>
      </w:pPr>
    </w:p>
    <w:p w:rsidR="0085391E" w:rsidRPr="001300B2" w:rsidRDefault="0085391E" w:rsidP="0085391E">
      <w:pPr>
        <w:spacing w:after="0" w:line="240" w:lineRule="auto"/>
        <w:rPr>
          <w:rFonts w:cs="Times New Roman"/>
          <w:b/>
          <w:szCs w:val="28"/>
        </w:rPr>
      </w:pPr>
    </w:p>
    <w:p w:rsidR="0085391E" w:rsidRDefault="0085391E" w:rsidP="0085391E">
      <w:pPr>
        <w:spacing w:after="0" w:line="240" w:lineRule="auto"/>
        <w:rPr>
          <w:rFonts w:cs="Times New Roman"/>
          <w:b/>
          <w:szCs w:val="28"/>
        </w:rPr>
      </w:pPr>
      <w:r>
        <w:rPr>
          <w:rFonts w:cs="Times New Roman"/>
          <w:b/>
          <w:szCs w:val="28"/>
        </w:rPr>
        <w:t xml:space="preserve">Голова Вищої ради правосуддя      </w:t>
      </w:r>
      <w:r>
        <w:rPr>
          <w:rFonts w:cs="Times New Roman"/>
          <w:b/>
          <w:szCs w:val="28"/>
        </w:rPr>
        <w:tab/>
      </w:r>
      <w:r>
        <w:rPr>
          <w:rFonts w:cs="Times New Roman"/>
          <w:b/>
          <w:szCs w:val="28"/>
        </w:rPr>
        <w:tab/>
      </w:r>
      <w:r>
        <w:rPr>
          <w:rFonts w:cs="Times New Roman"/>
          <w:b/>
          <w:szCs w:val="28"/>
        </w:rPr>
        <w:tab/>
      </w:r>
      <w:r>
        <w:rPr>
          <w:rFonts w:cs="Times New Roman"/>
          <w:b/>
          <w:szCs w:val="28"/>
        </w:rPr>
        <w:tab/>
        <w:t xml:space="preserve">         А.А. </w:t>
      </w:r>
      <w:proofErr w:type="spellStart"/>
      <w:r>
        <w:rPr>
          <w:rFonts w:cs="Times New Roman"/>
          <w:b/>
          <w:szCs w:val="28"/>
        </w:rPr>
        <w:t>Овсієнко</w:t>
      </w:r>
      <w:proofErr w:type="spellEnd"/>
    </w:p>
    <w:p w:rsidR="0085391E" w:rsidRDefault="0085391E" w:rsidP="0085391E">
      <w:pPr>
        <w:pStyle w:val="a4"/>
        <w:spacing w:after="0" w:line="240" w:lineRule="auto"/>
        <w:ind w:left="0" w:firstLine="567"/>
        <w:jc w:val="both"/>
        <w:rPr>
          <w:szCs w:val="28"/>
        </w:rPr>
      </w:pPr>
    </w:p>
    <w:p w:rsidR="0085391E" w:rsidRDefault="0085391E" w:rsidP="0085391E">
      <w:pPr>
        <w:pStyle w:val="a3"/>
        <w:tabs>
          <w:tab w:val="left" w:pos="5245"/>
        </w:tabs>
        <w:ind w:left="4395"/>
        <w:rPr>
          <w:rFonts w:cs="Times New Roman"/>
          <w:b/>
          <w:szCs w:val="28"/>
        </w:rPr>
      </w:pPr>
      <w:r w:rsidRPr="00B71DAF">
        <w:rPr>
          <w:rFonts w:cs="Times New Roman"/>
          <w:b/>
          <w:szCs w:val="28"/>
        </w:rPr>
        <w:lastRenderedPageBreak/>
        <w:t>З</w:t>
      </w:r>
      <w:r>
        <w:rPr>
          <w:rFonts w:cs="Times New Roman"/>
          <w:b/>
          <w:szCs w:val="28"/>
        </w:rPr>
        <w:t xml:space="preserve">АТВЕРДЖЕНО </w:t>
      </w:r>
    </w:p>
    <w:p w:rsidR="0085391E" w:rsidRDefault="0085391E" w:rsidP="0085391E">
      <w:pPr>
        <w:pStyle w:val="a3"/>
        <w:tabs>
          <w:tab w:val="left" w:pos="5245"/>
        </w:tabs>
        <w:ind w:left="4395"/>
        <w:rPr>
          <w:rFonts w:cs="Times New Roman"/>
          <w:b/>
          <w:szCs w:val="28"/>
        </w:rPr>
      </w:pPr>
      <w:r w:rsidRPr="00B71DAF">
        <w:rPr>
          <w:rFonts w:cs="Times New Roman"/>
          <w:b/>
          <w:szCs w:val="28"/>
        </w:rPr>
        <w:t xml:space="preserve">Рішення Вищої ради </w:t>
      </w:r>
      <w:r>
        <w:rPr>
          <w:rFonts w:cs="Times New Roman"/>
          <w:b/>
          <w:szCs w:val="28"/>
        </w:rPr>
        <w:t>п</w:t>
      </w:r>
      <w:r w:rsidRPr="00B71DAF">
        <w:rPr>
          <w:rFonts w:cs="Times New Roman"/>
          <w:b/>
          <w:szCs w:val="28"/>
        </w:rPr>
        <w:t>равосуддя</w:t>
      </w:r>
    </w:p>
    <w:p w:rsidR="0085391E" w:rsidRDefault="0085391E" w:rsidP="0085391E">
      <w:pPr>
        <w:pStyle w:val="a3"/>
        <w:tabs>
          <w:tab w:val="left" w:pos="5245"/>
        </w:tabs>
        <w:ind w:left="4395"/>
        <w:rPr>
          <w:rFonts w:cs="Times New Roman"/>
          <w:b/>
          <w:szCs w:val="28"/>
        </w:rPr>
      </w:pPr>
      <w:r>
        <w:rPr>
          <w:rFonts w:cs="Times New Roman"/>
          <w:b/>
          <w:szCs w:val="28"/>
          <w:lang w:val="ru-RU"/>
        </w:rPr>
        <w:t xml:space="preserve"> 14 </w:t>
      </w:r>
      <w:proofErr w:type="spellStart"/>
      <w:r>
        <w:rPr>
          <w:rFonts w:cs="Times New Roman"/>
          <w:b/>
          <w:szCs w:val="28"/>
          <w:lang w:val="ru-RU"/>
        </w:rPr>
        <w:t>січня</w:t>
      </w:r>
      <w:proofErr w:type="spellEnd"/>
      <w:r>
        <w:rPr>
          <w:rFonts w:cs="Times New Roman"/>
          <w:b/>
          <w:szCs w:val="28"/>
          <w:lang w:val="ru-RU"/>
        </w:rPr>
        <w:t xml:space="preserve"> 2020 року  </w:t>
      </w:r>
      <w:r>
        <w:rPr>
          <w:rFonts w:cs="Times New Roman"/>
          <w:b/>
          <w:szCs w:val="28"/>
        </w:rPr>
        <w:t>№ 52/0/15-20</w:t>
      </w:r>
    </w:p>
    <w:p w:rsidR="0085391E" w:rsidRPr="00CD404E" w:rsidRDefault="0085391E" w:rsidP="0085391E">
      <w:pPr>
        <w:pStyle w:val="a3"/>
        <w:tabs>
          <w:tab w:val="left" w:pos="3969"/>
        </w:tabs>
        <w:rPr>
          <w:rFonts w:cs="Times New Roman"/>
          <w:szCs w:val="28"/>
          <w:lang w:val="ru-RU"/>
        </w:rPr>
      </w:pPr>
    </w:p>
    <w:p w:rsidR="0085391E" w:rsidRPr="008C46CC" w:rsidRDefault="0085391E" w:rsidP="0085391E">
      <w:pPr>
        <w:pStyle w:val="a3"/>
        <w:tabs>
          <w:tab w:val="left" w:pos="3969"/>
        </w:tabs>
        <w:jc w:val="center"/>
        <w:rPr>
          <w:rFonts w:cs="Times New Roman"/>
          <w:szCs w:val="28"/>
        </w:rPr>
      </w:pPr>
      <w:r w:rsidRPr="008C46CC">
        <w:rPr>
          <w:rFonts w:cs="Times New Roman"/>
          <w:szCs w:val="28"/>
        </w:rPr>
        <w:t>КОНСУЛЬТАТИВНИЙ ВИСНОВОК</w:t>
      </w:r>
    </w:p>
    <w:p w:rsidR="0085391E" w:rsidRPr="00B71B1B" w:rsidRDefault="0085391E" w:rsidP="0085391E">
      <w:pPr>
        <w:pStyle w:val="a3"/>
        <w:jc w:val="center"/>
        <w:rPr>
          <w:rFonts w:cs="Times New Roman"/>
          <w:szCs w:val="28"/>
          <w:lang w:val="ru-RU"/>
        </w:rPr>
      </w:pPr>
      <w:r w:rsidRPr="008C46CC">
        <w:rPr>
          <w:rFonts w:cs="Times New Roman"/>
          <w:szCs w:val="28"/>
        </w:rPr>
        <w:t xml:space="preserve">щодо законопроекту № </w:t>
      </w:r>
      <w:r>
        <w:rPr>
          <w:rFonts w:cs="Times New Roman"/>
          <w:szCs w:val="28"/>
          <w:lang w:val="ru-RU"/>
        </w:rPr>
        <w:t>2536</w:t>
      </w:r>
    </w:p>
    <w:p w:rsidR="0085391E" w:rsidRPr="008C46CC" w:rsidRDefault="0085391E" w:rsidP="0085391E">
      <w:pPr>
        <w:spacing w:after="0" w:line="240" w:lineRule="auto"/>
        <w:ind w:firstLine="567"/>
        <w:jc w:val="both"/>
        <w:rPr>
          <w:rFonts w:eastAsia="Times New Roman"/>
          <w:szCs w:val="28"/>
          <w:lang w:eastAsia="uk-UA"/>
        </w:rPr>
      </w:pPr>
    </w:p>
    <w:p w:rsidR="0085391E" w:rsidRPr="008C46CC" w:rsidRDefault="0085391E" w:rsidP="0085391E">
      <w:pPr>
        <w:pStyle w:val="a3"/>
        <w:numPr>
          <w:ilvl w:val="0"/>
          <w:numId w:val="1"/>
        </w:numPr>
        <w:tabs>
          <w:tab w:val="left" w:pos="1134"/>
        </w:tabs>
        <w:ind w:left="0" w:firstLine="851"/>
        <w:jc w:val="both"/>
        <w:rPr>
          <w:rFonts w:cs="Times New Roman"/>
          <w:szCs w:val="28"/>
        </w:rPr>
      </w:pPr>
      <w:r w:rsidRPr="008C46CC">
        <w:rPr>
          <w:rFonts w:cs="Times New Roman"/>
          <w:szCs w:val="28"/>
        </w:rPr>
        <w:t xml:space="preserve">Проект Закону України «Про внесення змін до </w:t>
      </w:r>
      <w:r w:rsidRPr="00B71B1B">
        <w:rPr>
          <w:rFonts w:cs="Times New Roman"/>
          <w:szCs w:val="28"/>
        </w:rPr>
        <w:t>З</w:t>
      </w:r>
      <w:r w:rsidRPr="008C46CC">
        <w:rPr>
          <w:rFonts w:cs="Times New Roman"/>
          <w:szCs w:val="28"/>
        </w:rPr>
        <w:t>акон</w:t>
      </w:r>
      <w:r w:rsidRPr="00B71B1B">
        <w:rPr>
          <w:rFonts w:cs="Times New Roman"/>
          <w:szCs w:val="28"/>
        </w:rPr>
        <w:t>у</w:t>
      </w:r>
      <w:r w:rsidRPr="008C46CC">
        <w:rPr>
          <w:rFonts w:cs="Times New Roman"/>
          <w:szCs w:val="28"/>
        </w:rPr>
        <w:t xml:space="preserve"> України </w:t>
      </w:r>
      <w:r>
        <w:rPr>
          <w:rFonts w:cs="Times New Roman"/>
          <w:szCs w:val="28"/>
        </w:rPr>
        <w:t xml:space="preserve">        </w:t>
      </w:r>
      <w:r w:rsidRPr="00B71B1B">
        <w:rPr>
          <w:rFonts w:cs="Times New Roman"/>
          <w:szCs w:val="28"/>
        </w:rPr>
        <w:t>«Про Вищу раду правосуддя»</w:t>
      </w:r>
      <w:r>
        <w:rPr>
          <w:rFonts w:cs="Times New Roman"/>
          <w:szCs w:val="28"/>
        </w:rPr>
        <w:t xml:space="preserve"> </w:t>
      </w:r>
      <w:r w:rsidRPr="008C46CC">
        <w:rPr>
          <w:rFonts w:cs="Times New Roman"/>
          <w:szCs w:val="28"/>
        </w:rPr>
        <w:t xml:space="preserve">щодо </w:t>
      </w:r>
      <w:r w:rsidRPr="00B71B1B">
        <w:rPr>
          <w:rFonts w:cs="Times New Roman"/>
          <w:szCs w:val="28"/>
        </w:rPr>
        <w:t>визначення порядку обрання (призначення) на посади членів Вищої ради правосуддя</w:t>
      </w:r>
      <w:r w:rsidRPr="008C46CC">
        <w:rPr>
          <w:rFonts w:cs="Times New Roman"/>
          <w:szCs w:val="28"/>
        </w:rPr>
        <w:t xml:space="preserve">» від </w:t>
      </w:r>
      <w:r>
        <w:rPr>
          <w:rFonts w:cs="Times New Roman"/>
          <w:szCs w:val="28"/>
        </w:rPr>
        <w:t xml:space="preserve">5 грудня </w:t>
      </w:r>
      <w:r w:rsidRPr="008C46CC">
        <w:rPr>
          <w:rFonts w:cs="Times New Roman"/>
          <w:szCs w:val="28"/>
        </w:rPr>
        <w:t>2019 року</w:t>
      </w:r>
      <w:r>
        <w:rPr>
          <w:rFonts w:cs="Times New Roman"/>
          <w:szCs w:val="28"/>
        </w:rPr>
        <w:t>,</w:t>
      </w:r>
      <w:r w:rsidRPr="008C46CC">
        <w:rPr>
          <w:rFonts w:cs="Times New Roman"/>
          <w:szCs w:val="28"/>
        </w:rPr>
        <w:t xml:space="preserve"> реєстраційний  № </w:t>
      </w:r>
      <w:r>
        <w:rPr>
          <w:rFonts w:cs="Times New Roman"/>
          <w:szCs w:val="28"/>
        </w:rPr>
        <w:t>2536</w:t>
      </w:r>
      <w:r w:rsidRPr="008C46CC">
        <w:rPr>
          <w:rFonts w:cs="Times New Roman"/>
          <w:szCs w:val="28"/>
        </w:rPr>
        <w:t xml:space="preserve"> (далі – законопроект  № </w:t>
      </w:r>
      <w:r>
        <w:rPr>
          <w:rFonts w:cs="Times New Roman"/>
          <w:szCs w:val="28"/>
        </w:rPr>
        <w:t>2536),</w:t>
      </w:r>
      <w:r w:rsidRPr="008C46CC">
        <w:rPr>
          <w:rFonts w:cs="Times New Roman"/>
          <w:szCs w:val="28"/>
        </w:rPr>
        <w:t xml:space="preserve"> внесен</w:t>
      </w:r>
      <w:r>
        <w:rPr>
          <w:rFonts w:cs="Times New Roman"/>
          <w:szCs w:val="28"/>
        </w:rPr>
        <w:t>о</w:t>
      </w:r>
      <w:r w:rsidRPr="008C46CC">
        <w:rPr>
          <w:rFonts w:cs="Times New Roman"/>
          <w:szCs w:val="28"/>
        </w:rPr>
        <w:t xml:space="preserve"> на розгляд Верховної Ради України у порядку законодавчої ініціативи </w:t>
      </w:r>
      <w:r>
        <w:rPr>
          <w:rFonts w:cs="Times New Roman"/>
          <w:szCs w:val="28"/>
        </w:rPr>
        <w:t xml:space="preserve">народними депутатами України </w:t>
      </w:r>
      <w:proofErr w:type="spellStart"/>
      <w:r>
        <w:rPr>
          <w:rFonts w:cs="Times New Roman"/>
          <w:szCs w:val="28"/>
        </w:rPr>
        <w:t>Юрчишиним</w:t>
      </w:r>
      <w:proofErr w:type="spellEnd"/>
      <w:r>
        <w:rPr>
          <w:rFonts w:cs="Times New Roman"/>
          <w:szCs w:val="28"/>
        </w:rPr>
        <w:t xml:space="preserve"> Я.Р., Макаровим О.А., </w:t>
      </w:r>
      <w:proofErr w:type="spellStart"/>
      <w:r>
        <w:rPr>
          <w:rFonts w:cs="Times New Roman"/>
          <w:szCs w:val="28"/>
        </w:rPr>
        <w:t>Рахманіним</w:t>
      </w:r>
      <w:proofErr w:type="spellEnd"/>
      <w:r>
        <w:rPr>
          <w:rFonts w:cs="Times New Roman"/>
          <w:szCs w:val="28"/>
        </w:rPr>
        <w:t xml:space="preserve"> С.І., </w:t>
      </w:r>
      <w:proofErr w:type="spellStart"/>
      <w:r>
        <w:rPr>
          <w:rFonts w:cs="Times New Roman"/>
          <w:szCs w:val="28"/>
        </w:rPr>
        <w:t>Устіновою</w:t>
      </w:r>
      <w:proofErr w:type="spellEnd"/>
      <w:r>
        <w:rPr>
          <w:rFonts w:cs="Times New Roman"/>
          <w:szCs w:val="28"/>
        </w:rPr>
        <w:t xml:space="preserve"> О.Ю., Осадчуком А.П., Рудик К.О., </w:t>
      </w:r>
      <w:proofErr w:type="spellStart"/>
      <w:r>
        <w:rPr>
          <w:rFonts w:cs="Times New Roman"/>
          <w:szCs w:val="28"/>
        </w:rPr>
        <w:t>Піпою</w:t>
      </w:r>
      <w:proofErr w:type="spellEnd"/>
      <w:r>
        <w:rPr>
          <w:rFonts w:cs="Times New Roman"/>
          <w:szCs w:val="28"/>
        </w:rPr>
        <w:t xml:space="preserve"> Н.Р., Клименко Ю.Л., Лозинським Р.М., </w:t>
      </w:r>
      <w:proofErr w:type="spellStart"/>
      <w:r>
        <w:rPr>
          <w:rFonts w:cs="Times New Roman"/>
          <w:szCs w:val="28"/>
        </w:rPr>
        <w:t>Стефанишиною</w:t>
      </w:r>
      <w:proofErr w:type="spellEnd"/>
      <w:r>
        <w:rPr>
          <w:rFonts w:cs="Times New Roman"/>
          <w:szCs w:val="28"/>
        </w:rPr>
        <w:t xml:space="preserve"> О.А., Васильченко Г.І., Василенко Л.В</w:t>
      </w:r>
      <w:r w:rsidRPr="008C46CC">
        <w:rPr>
          <w:rFonts w:cs="Times New Roman"/>
          <w:szCs w:val="28"/>
        </w:rPr>
        <w:t>.</w:t>
      </w:r>
    </w:p>
    <w:p w:rsidR="0085391E" w:rsidRPr="000D2E39" w:rsidRDefault="0085391E" w:rsidP="0085391E">
      <w:pPr>
        <w:widowControl w:val="0"/>
        <w:spacing w:after="0" w:line="240" w:lineRule="auto"/>
        <w:ind w:firstLine="709"/>
        <w:jc w:val="both"/>
        <w:outlineLvl w:val="0"/>
        <w:rPr>
          <w:rFonts w:cs="Times New Roman"/>
          <w:szCs w:val="28"/>
          <w:lang w:val="ru-RU"/>
        </w:rPr>
      </w:pPr>
      <w:r>
        <w:rPr>
          <w:bCs/>
          <w:szCs w:val="28"/>
          <w:lang w:eastAsia="uk-UA"/>
        </w:rPr>
        <w:t xml:space="preserve"> Згідно із пояснювальною</w:t>
      </w:r>
      <w:r w:rsidRPr="008C46CC">
        <w:rPr>
          <w:bCs/>
          <w:szCs w:val="28"/>
          <w:lang w:eastAsia="uk-UA"/>
        </w:rPr>
        <w:t xml:space="preserve"> записк</w:t>
      </w:r>
      <w:r>
        <w:rPr>
          <w:bCs/>
          <w:szCs w:val="28"/>
          <w:lang w:eastAsia="uk-UA"/>
        </w:rPr>
        <w:t>ою</w:t>
      </w:r>
      <w:r w:rsidRPr="008C46CC">
        <w:rPr>
          <w:bCs/>
          <w:szCs w:val="28"/>
          <w:lang w:eastAsia="uk-UA"/>
        </w:rPr>
        <w:t xml:space="preserve"> </w:t>
      </w:r>
      <w:r>
        <w:rPr>
          <w:bCs/>
          <w:szCs w:val="28"/>
          <w:lang w:eastAsia="uk-UA"/>
        </w:rPr>
        <w:t xml:space="preserve">до </w:t>
      </w:r>
      <w:r w:rsidRPr="008C46CC">
        <w:rPr>
          <w:bCs/>
          <w:szCs w:val="28"/>
          <w:lang w:eastAsia="uk-UA"/>
        </w:rPr>
        <w:t xml:space="preserve">законопроекту </w:t>
      </w:r>
      <w:r w:rsidRPr="008C46CC">
        <w:rPr>
          <w:rFonts w:cs="Times New Roman"/>
          <w:szCs w:val="28"/>
        </w:rPr>
        <w:t xml:space="preserve">№ </w:t>
      </w:r>
      <w:r>
        <w:rPr>
          <w:rFonts w:cs="Times New Roman"/>
          <w:szCs w:val="28"/>
        </w:rPr>
        <w:t xml:space="preserve">2536 </w:t>
      </w:r>
      <w:r w:rsidRPr="003F5FE3">
        <w:rPr>
          <w:rFonts w:cs="Times New Roman"/>
          <w:szCs w:val="28"/>
        </w:rPr>
        <w:t xml:space="preserve">пропонується </w:t>
      </w:r>
      <w:r>
        <w:rPr>
          <w:rFonts w:cs="Times New Roman"/>
          <w:szCs w:val="28"/>
        </w:rPr>
        <w:t>внести зміни до порядку</w:t>
      </w:r>
      <w:r w:rsidRPr="003F5FE3">
        <w:rPr>
          <w:rFonts w:cs="Times New Roman"/>
          <w:szCs w:val="28"/>
        </w:rPr>
        <w:t xml:space="preserve"> обрання (призначення) членів Вищої ради правосуддя шляхом проведення попередньої перевірки кандидатів Громадською радою міжнародних експертів</w:t>
      </w:r>
      <w:r>
        <w:rPr>
          <w:rFonts w:cs="Times New Roman"/>
          <w:szCs w:val="28"/>
        </w:rPr>
        <w:t xml:space="preserve">, утвореною відповідно до Закону України «Про Вищий антикорупційний суд», у зв’язку із чим </w:t>
      </w:r>
      <w:r w:rsidRPr="003F5FE3">
        <w:rPr>
          <w:szCs w:val="28"/>
        </w:rPr>
        <w:t>змінити порядок обрання (призначення) членів Вищої ради правосуддя з’їздом суддів Украї</w:t>
      </w:r>
      <w:r>
        <w:rPr>
          <w:szCs w:val="28"/>
        </w:rPr>
        <w:t>ни, з’їздом адвокатів України, в</w:t>
      </w:r>
      <w:r w:rsidRPr="003F5FE3">
        <w:rPr>
          <w:szCs w:val="28"/>
        </w:rPr>
        <w:t>сеукраїнською конференцією прокурорів, з’їздом представників юридичних вищих навчальних закладів та наукових установ, Президентом України, Верховною Радою України.</w:t>
      </w:r>
    </w:p>
    <w:p w:rsidR="0085391E" w:rsidRDefault="0085391E" w:rsidP="0085391E">
      <w:pPr>
        <w:widowControl w:val="0"/>
        <w:spacing w:after="0" w:line="240" w:lineRule="auto"/>
        <w:ind w:firstLine="709"/>
        <w:jc w:val="both"/>
        <w:outlineLvl w:val="0"/>
        <w:rPr>
          <w:rFonts w:cs="Times New Roman"/>
          <w:szCs w:val="28"/>
        </w:rPr>
      </w:pPr>
      <w:r>
        <w:rPr>
          <w:rStyle w:val="CharStyle12"/>
          <w:szCs w:val="28"/>
        </w:rPr>
        <w:t>Як зазначено у пояснювальній записці, м</w:t>
      </w:r>
      <w:r w:rsidRPr="008C46CC">
        <w:rPr>
          <w:rStyle w:val="CharStyle12"/>
          <w:szCs w:val="28"/>
        </w:rPr>
        <w:t xml:space="preserve">етою прийняття </w:t>
      </w:r>
      <w:r w:rsidRPr="008C46CC">
        <w:rPr>
          <w:rFonts w:cs="Times New Roman"/>
          <w:szCs w:val="28"/>
        </w:rPr>
        <w:t xml:space="preserve">законопроекту № </w:t>
      </w:r>
      <w:r>
        <w:rPr>
          <w:rFonts w:cs="Times New Roman"/>
          <w:szCs w:val="28"/>
        </w:rPr>
        <w:t xml:space="preserve">2536 </w:t>
      </w:r>
      <w:r w:rsidRPr="008C46CC">
        <w:rPr>
          <w:rFonts w:cs="Times New Roman"/>
          <w:szCs w:val="28"/>
        </w:rPr>
        <w:t xml:space="preserve">є </w:t>
      </w:r>
      <w:r w:rsidRPr="003F5FE3">
        <w:rPr>
          <w:rFonts w:cs="Times New Roman"/>
          <w:szCs w:val="28"/>
        </w:rPr>
        <w:t>забезпечення незалежного відбору членів Вищої ради правосуддя</w:t>
      </w:r>
      <w:r>
        <w:rPr>
          <w:rFonts w:cs="Times New Roman"/>
          <w:szCs w:val="28"/>
        </w:rPr>
        <w:t>.</w:t>
      </w:r>
    </w:p>
    <w:p w:rsidR="0085391E" w:rsidRPr="008C46CC" w:rsidRDefault="0085391E" w:rsidP="0085391E">
      <w:pPr>
        <w:spacing w:after="0" w:line="240" w:lineRule="auto"/>
        <w:ind w:firstLine="851"/>
        <w:jc w:val="both"/>
        <w:rPr>
          <w:rFonts w:cs="Times New Roman"/>
          <w:szCs w:val="28"/>
        </w:rPr>
      </w:pPr>
    </w:p>
    <w:p w:rsidR="0085391E" w:rsidRPr="008C46CC" w:rsidRDefault="0085391E" w:rsidP="0085391E">
      <w:pPr>
        <w:tabs>
          <w:tab w:val="left" w:pos="0"/>
        </w:tabs>
        <w:autoSpaceDE w:val="0"/>
        <w:autoSpaceDN w:val="0"/>
        <w:adjustRightInd w:val="0"/>
        <w:spacing w:after="0" w:line="240" w:lineRule="auto"/>
        <w:ind w:firstLine="851"/>
        <w:jc w:val="both"/>
        <w:rPr>
          <w:rFonts w:cs="Times New Roman"/>
          <w:szCs w:val="28"/>
          <w:lang w:eastAsia="uk-UA"/>
        </w:rPr>
      </w:pPr>
      <w:r w:rsidRPr="008C46CC">
        <w:rPr>
          <w:rFonts w:cs="Times New Roman"/>
          <w:szCs w:val="28"/>
        </w:rPr>
        <w:t xml:space="preserve">2. Вища рада правосуддя відповідно до пункту 15 частини першої </w:t>
      </w:r>
      <w:r>
        <w:rPr>
          <w:rFonts w:cs="Times New Roman"/>
          <w:szCs w:val="28"/>
        </w:rPr>
        <w:t xml:space="preserve">  </w:t>
      </w:r>
      <w:r w:rsidRPr="008C46CC">
        <w:rPr>
          <w:rFonts w:cs="Times New Roman"/>
          <w:szCs w:val="28"/>
        </w:rPr>
        <w:t xml:space="preserve">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85391E" w:rsidRDefault="0085391E" w:rsidP="00656990">
      <w:pPr>
        <w:autoSpaceDE w:val="0"/>
        <w:autoSpaceDN w:val="0"/>
        <w:adjustRightInd w:val="0"/>
        <w:spacing w:after="0" w:line="240" w:lineRule="auto"/>
        <w:ind w:firstLine="851"/>
        <w:jc w:val="both"/>
        <w:rPr>
          <w:rFonts w:cs="Times New Roman"/>
          <w:iCs/>
          <w:szCs w:val="28"/>
          <w:lang w:val="ru-RU"/>
        </w:rPr>
      </w:pPr>
      <w:r w:rsidRPr="008C46CC">
        <w:rPr>
          <w:rFonts w:cs="Times New Roman"/>
          <w:iCs/>
          <w:szCs w:val="28"/>
        </w:rPr>
        <w:t>Усі проекти законів, що стосуються статусу суддів, відправлення право</w:t>
      </w:r>
      <w:r>
        <w:rPr>
          <w:rFonts w:cs="Times New Roman"/>
          <w:iCs/>
          <w:szCs w:val="28"/>
        </w:rPr>
        <w:t>суддя, процесуальних законів та</w:t>
      </w:r>
      <w:r w:rsidRPr="008C46CC">
        <w:rPr>
          <w:rFonts w:cs="Times New Roman"/>
          <w:iCs/>
          <w:szCs w:val="28"/>
        </w:rPr>
        <w:t xml:space="preserve">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8C46CC">
        <w:rPr>
          <w:rStyle w:val="a7"/>
          <w:iCs/>
          <w:szCs w:val="28"/>
        </w:rPr>
        <w:footnoteReference w:id="1"/>
      </w:r>
      <w:r w:rsidRPr="008C46CC">
        <w:rPr>
          <w:rFonts w:cs="Times New Roman"/>
          <w:iCs/>
          <w:szCs w:val="28"/>
        </w:rPr>
        <w:t>.</w:t>
      </w:r>
    </w:p>
    <w:p w:rsidR="00656990" w:rsidRPr="004667AF" w:rsidRDefault="00656990" w:rsidP="00656990">
      <w:pPr>
        <w:autoSpaceDE w:val="0"/>
        <w:autoSpaceDN w:val="0"/>
        <w:adjustRightInd w:val="0"/>
        <w:spacing w:after="0" w:line="240" w:lineRule="auto"/>
        <w:ind w:firstLine="851"/>
        <w:jc w:val="both"/>
        <w:rPr>
          <w:rFonts w:cs="Times New Roman"/>
          <w:iCs/>
          <w:szCs w:val="28"/>
          <w:lang w:val="ru-RU"/>
        </w:rPr>
      </w:pPr>
    </w:p>
    <w:p w:rsidR="0085391E" w:rsidRPr="008A2534" w:rsidRDefault="0085391E" w:rsidP="0085391E">
      <w:pPr>
        <w:pStyle w:val="a3"/>
        <w:ind w:firstLine="851"/>
        <w:jc w:val="both"/>
        <w:rPr>
          <w:color w:val="000000"/>
          <w:szCs w:val="28"/>
          <w:shd w:val="clear" w:color="auto" w:fill="FFFFFF"/>
          <w:lang w:val="ru-RU"/>
        </w:rPr>
      </w:pPr>
      <w:r>
        <w:rPr>
          <w:color w:val="000000"/>
          <w:shd w:val="clear" w:color="auto" w:fill="FFFFFF"/>
        </w:rPr>
        <w:lastRenderedPageBreak/>
        <w:t>3.</w:t>
      </w:r>
      <w:r w:rsidRPr="00D50562">
        <w:rPr>
          <w:rFonts w:cs="Times New Roman"/>
          <w:szCs w:val="28"/>
          <w:lang w:eastAsia="ru-RU"/>
        </w:rPr>
        <w:t xml:space="preserve"> </w:t>
      </w:r>
      <w:r w:rsidRPr="008A2534">
        <w:rPr>
          <w:rFonts w:cs="Times New Roman"/>
          <w:szCs w:val="28"/>
          <w:lang w:eastAsia="ru-RU"/>
        </w:rPr>
        <w:t>Загальноприйнятим є те, що сучасна демократична держава повинна бути заснована на принципі поділу влади</w:t>
      </w:r>
      <w:r>
        <w:rPr>
          <w:rStyle w:val="a7"/>
          <w:szCs w:val="28"/>
          <w:lang w:eastAsia="ru-RU"/>
        </w:rPr>
        <w:footnoteReference w:id="2"/>
      </w:r>
      <w:r w:rsidRPr="008A2534">
        <w:rPr>
          <w:rFonts w:cs="Times New Roman"/>
          <w:szCs w:val="28"/>
          <w:lang w:eastAsia="ru-RU"/>
        </w:rPr>
        <w:t>. Судова влада – одна з трьох основних, але рівних стовпів сучасної демократичної держави. Усі три гілки влади надають публічні послуги й повинні відповідати одна перед одною за свої дії. У демократичній державі, заснованій на принципі верховенства права, жодна з гілок державної влади не може діяти у власних інтересах; вони діють у інтересах народу в цілому</w:t>
      </w:r>
      <w:r>
        <w:rPr>
          <w:rStyle w:val="a7"/>
          <w:szCs w:val="28"/>
          <w:lang w:eastAsia="ru-RU"/>
        </w:rPr>
        <w:footnoteReference w:id="3"/>
      </w:r>
      <w:r w:rsidRPr="008A2534">
        <w:rPr>
          <w:rFonts w:cs="Times New Roman"/>
          <w:szCs w:val="28"/>
          <w:lang w:eastAsia="ru-RU"/>
        </w:rPr>
        <w:t xml:space="preserve">. </w:t>
      </w:r>
    </w:p>
    <w:p w:rsidR="0085391E" w:rsidRPr="00D05C82" w:rsidRDefault="0085391E" w:rsidP="0085391E">
      <w:pPr>
        <w:pStyle w:val="a3"/>
        <w:ind w:firstLine="851"/>
        <w:jc w:val="both"/>
        <w:rPr>
          <w:rFonts w:cs="Times New Roman"/>
          <w:i/>
          <w:szCs w:val="28"/>
        </w:rPr>
      </w:pPr>
      <w:r>
        <w:rPr>
          <w:color w:val="000000"/>
          <w:shd w:val="clear" w:color="auto" w:fill="FFFFFF"/>
        </w:rPr>
        <w:t xml:space="preserve"> </w:t>
      </w:r>
      <w:r w:rsidRPr="008A233A">
        <w:rPr>
          <w:szCs w:val="28"/>
        </w:rPr>
        <w:t xml:space="preserve">Велика хартія суддів (Консультативна рада європейських суддів, </w:t>
      </w:r>
      <w:r>
        <w:rPr>
          <w:szCs w:val="28"/>
        </w:rPr>
        <w:t xml:space="preserve">             </w:t>
      </w:r>
      <w:r w:rsidRPr="008A233A">
        <w:rPr>
          <w:szCs w:val="28"/>
        </w:rPr>
        <w:t>м. Страсбург, 17 листопада 2010 року, пункт 13) передбачає, що для забезпечення незалежності суддів у кожній державі створюється судова рада чи інший спеціалізований орган, незалежний від законодавчої та виконавчої влади, наділений широкими</w:t>
      </w:r>
      <w:r w:rsidRPr="007109E6">
        <w:rPr>
          <w:szCs w:val="28"/>
        </w:rPr>
        <w:t xml:space="preserve"> повноваженнями з усіх питань щодо статусу суддів, а також щодо організації, функціонування та репутації судових інституцій. </w:t>
      </w:r>
    </w:p>
    <w:p w:rsidR="0085391E" w:rsidRPr="00554868" w:rsidRDefault="0085391E" w:rsidP="0085391E">
      <w:pPr>
        <w:spacing w:after="0" w:line="240" w:lineRule="auto"/>
        <w:ind w:firstLine="851"/>
        <w:jc w:val="both"/>
        <w:rPr>
          <w:szCs w:val="28"/>
          <w:lang w:val="ru-RU"/>
        </w:rPr>
      </w:pPr>
      <w:r w:rsidRPr="007109E6">
        <w:rPr>
          <w:szCs w:val="28"/>
        </w:rPr>
        <w:t xml:space="preserve">У Висновку № 10 (2007) Консультативної ради європейських </w:t>
      </w:r>
      <w:r w:rsidRPr="008C46CC">
        <w:t xml:space="preserve">суддів до уваги Комітету Міністрів Ради Європи щодо судової ради на службі суспільства зазначено, що судова рада повинна також становити автономний орган судової влади, що уможливлює здійснення  індивідуальними суддями своїх функцій незалежно від будь-якого контролю з боку виконавчої і законодавчої влади та без неправомірного тиску зсередини судової системи. </w:t>
      </w:r>
      <w:r>
        <w:t>Стосовно цього</w:t>
      </w:r>
      <w:r w:rsidRPr="008C46CC">
        <w:t xml:space="preserve"> Консультативн</w:t>
      </w:r>
      <w:r>
        <w:t>а</w:t>
      </w:r>
      <w:r w:rsidRPr="008C46CC">
        <w:t xml:space="preserve"> рад</w:t>
      </w:r>
      <w:r>
        <w:t>а</w:t>
      </w:r>
      <w:r w:rsidRPr="008C46CC">
        <w:t xml:space="preserve"> європейських суддів вважає, що буде неприпустимим, якщо судова рада обмежуватиметься іншими органами у своїй автономії визначати власні процедури діяльності та питання, що виносяться на її розгляд. </w:t>
      </w:r>
    </w:p>
    <w:p w:rsidR="0085391E" w:rsidRPr="00EC21BC" w:rsidRDefault="0085391E" w:rsidP="0085391E">
      <w:pPr>
        <w:spacing w:after="0" w:line="240" w:lineRule="auto"/>
        <w:ind w:firstLine="851"/>
        <w:jc w:val="both"/>
        <w:rPr>
          <w:szCs w:val="28"/>
          <w:lang w:val="ru-RU"/>
        </w:rPr>
      </w:pPr>
      <w:proofErr w:type="gramStart"/>
      <w:r>
        <w:rPr>
          <w:lang w:val="en-US"/>
        </w:rPr>
        <w:t>C</w:t>
      </w:r>
      <w:proofErr w:type="spellStart"/>
      <w:r w:rsidRPr="009A1124">
        <w:t>таттею</w:t>
      </w:r>
      <w:proofErr w:type="spellEnd"/>
      <w:r w:rsidRPr="009A1124">
        <w:t xml:space="preserve"> 1 Конституції України закріплено, що Україна є суверенна і незалежна, демократична, соціальна, правова держава.</w:t>
      </w:r>
      <w:proofErr w:type="gramEnd"/>
      <w:r w:rsidRPr="009A1124">
        <w:t xml:space="preserve"> Статтею 5 Основного Закону встановлено, що</w:t>
      </w:r>
      <w:bookmarkStart w:id="2" w:name="n4182"/>
      <w:bookmarkEnd w:id="2"/>
      <w:r w:rsidRPr="009A1124">
        <w:t xml:space="preserve"> 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w:t>
      </w:r>
      <w:bookmarkStart w:id="3" w:name="n4183"/>
      <w:bookmarkStart w:id="4" w:name="n4184"/>
      <w:bookmarkEnd w:id="3"/>
      <w:bookmarkEnd w:id="4"/>
      <w:r w:rsidRPr="009A1124">
        <w:t xml:space="preserve"> 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w:t>
      </w:r>
    </w:p>
    <w:p w:rsidR="0085391E" w:rsidRPr="00EC21BC" w:rsidRDefault="0085391E" w:rsidP="0085391E">
      <w:pPr>
        <w:spacing w:after="0" w:line="240" w:lineRule="auto"/>
        <w:ind w:firstLine="851"/>
        <w:jc w:val="both"/>
        <w:rPr>
          <w:szCs w:val="28"/>
          <w:lang w:val="ru-RU"/>
        </w:rPr>
      </w:pPr>
      <w:r>
        <w:t>Разом і</w:t>
      </w:r>
      <w:r w:rsidRPr="009A1124">
        <w:t>з тим відповідно</w:t>
      </w:r>
      <w:r>
        <w:t xml:space="preserve"> </w:t>
      </w:r>
      <w:r w:rsidRPr="009A1124">
        <w:t xml:space="preserve">до </w:t>
      </w:r>
      <w:r>
        <w:rPr>
          <w:bCs/>
        </w:rPr>
        <w:t>статті 38 Конституції України</w:t>
      </w:r>
      <w:r w:rsidRPr="009A1124">
        <w:t xml:space="preserve">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органів місцевого самоврядування.</w:t>
      </w:r>
      <w:bookmarkStart w:id="5" w:name="n4185"/>
      <w:bookmarkStart w:id="6" w:name="n4186"/>
      <w:bookmarkStart w:id="7" w:name="n4187"/>
      <w:bookmarkEnd w:id="5"/>
      <w:bookmarkEnd w:id="6"/>
      <w:bookmarkEnd w:id="7"/>
    </w:p>
    <w:p w:rsidR="0085391E" w:rsidRDefault="0085391E" w:rsidP="0085391E">
      <w:pPr>
        <w:spacing w:after="0" w:line="240" w:lineRule="auto"/>
        <w:ind w:firstLine="851"/>
        <w:jc w:val="both"/>
        <w:rPr>
          <w:lang w:val="ru-RU"/>
        </w:rPr>
      </w:pPr>
      <w:r>
        <w:t>Проте положення з</w:t>
      </w:r>
      <w:r w:rsidRPr="009A1124">
        <w:t xml:space="preserve">акону передбачають </w:t>
      </w:r>
      <w:r>
        <w:t xml:space="preserve">формування </w:t>
      </w:r>
      <w:r w:rsidRPr="009A1124">
        <w:t xml:space="preserve"> </w:t>
      </w:r>
      <w:r>
        <w:t>складу</w:t>
      </w:r>
      <w:r w:rsidRPr="009A1124">
        <w:t xml:space="preserve"> Вищої ради правосуддя та наділення владними повноваженнями осіб</w:t>
      </w:r>
      <w:r>
        <w:t>, які не є громадянами України</w:t>
      </w:r>
      <w:r>
        <w:rPr>
          <w:lang w:val="ru-RU"/>
        </w:rPr>
        <w:t xml:space="preserve">. </w:t>
      </w:r>
    </w:p>
    <w:p w:rsidR="0085391E" w:rsidRPr="00554868" w:rsidRDefault="0085391E" w:rsidP="0085391E">
      <w:pPr>
        <w:spacing w:after="0" w:line="240" w:lineRule="auto"/>
        <w:ind w:firstLine="851"/>
        <w:jc w:val="both"/>
        <w:rPr>
          <w:szCs w:val="28"/>
        </w:rPr>
      </w:pPr>
      <w:r w:rsidRPr="00554868">
        <w:rPr>
          <w:szCs w:val="28"/>
        </w:rPr>
        <w:t>7 листопада 2019 року набрав чинно</w:t>
      </w:r>
      <w:r>
        <w:rPr>
          <w:szCs w:val="28"/>
        </w:rPr>
        <w:t xml:space="preserve">сті Закон України від 16 жовтня </w:t>
      </w:r>
      <w:r w:rsidRPr="00554868">
        <w:rPr>
          <w:szCs w:val="28"/>
        </w:rPr>
        <w:t>2019 року № 193-</w:t>
      </w:r>
      <w:r w:rsidRPr="00554868">
        <w:rPr>
          <w:szCs w:val="28"/>
          <w:lang w:val="ru-RU"/>
        </w:rPr>
        <w:t>IX</w:t>
      </w:r>
      <w:r w:rsidRPr="00554868">
        <w:rPr>
          <w:szCs w:val="28"/>
        </w:rPr>
        <w:t xml:space="preserve"> «Про внесення змін до Закону України «Про судоустрій і статус суддів» та деяких законів України щодо діяльності органів суддівського </w:t>
      </w:r>
      <w:r w:rsidRPr="00554868">
        <w:rPr>
          <w:szCs w:val="28"/>
        </w:rPr>
        <w:lastRenderedPageBreak/>
        <w:t>врядування» (далі – Закон № 193-</w:t>
      </w:r>
      <w:r w:rsidRPr="00554868">
        <w:rPr>
          <w:szCs w:val="28"/>
          <w:lang w:val="ru-RU"/>
        </w:rPr>
        <w:t>IX</w:t>
      </w:r>
      <w:r w:rsidRPr="00554868">
        <w:rPr>
          <w:szCs w:val="28"/>
        </w:rPr>
        <w:t>), яким внесено зміни до законів України «Про судоустрій і статус суддів» та «Про Вищу раду правосуддя»</w:t>
      </w:r>
      <w:r>
        <w:rPr>
          <w:szCs w:val="28"/>
        </w:rPr>
        <w:t>.</w:t>
      </w:r>
    </w:p>
    <w:p w:rsidR="0085391E" w:rsidRDefault="0085391E" w:rsidP="0085391E">
      <w:pPr>
        <w:pStyle w:val="a3"/>
        <w:ind w:firstLine="851"/>
        <w:jc w:val="both"/>
        <w:rPr>
          <w:color w:val="000000"/>
          <w:szCs w:val="28"/>
          <w:shd w:val="clear" w:color="auto" w:fill="FFFFFF"/>
        </w:rPr>
      </w:pPr>
      <w:r>
        <w:rPr>
          <w:szCs w:val="28"/>
        </w:rPr>
        <w:t>Водночас</w:t>
      </w:r>
      <w:r>
        <w:rPr>
          <w:rStyle w:val="a8"/>
          <w:color w:val="000000"/>
          <w:szCs w:val="28"/>
          <w:bdr w:val="none" w:sz="0" w:space="0" w:color="auto" w:frame="1"/>
        </w:rPr>
        <w:t xml:space="preserve"> </w:t>
      </w:r>
      <w:r w:rsidRPr="0085391E">
        <w:rPr>
          <w:rStyle w:val="a8"/>
          <w:b w:val="0"/>
          <w:color w:val="000000"/>
          <w:szCs w:val="28"/>
          <w:bdr w:val="none" w:sz="0" w:space="0" w:color="auto" w:frame="1"/>
        </w:rPr>
        <w:t>Європейська комісія за демократію через право (Венеційська комісія) у своєму висновку щодо змін до правових рамок, які регулюють діяльність верховного суду</w:t>
      </w:r>
      <w:r w:rsidRPr="0085391E">
        <w:rPr>
          <w:b/>
          <w:color w:val="000000"/>
          <w:szCs w:val="28"/>
        </w:rPr>
        <w:t xml:space="preserve"> </w:t>
      </w:r>
      <w:r w:rsidRPr="0085391E">
        <w:rPr>
          <w:rStyle w:val="a8"/>
          <w:b w:val="0"/>
          <w:color w:val="000000"/>
          <w:szCs w:val="28"/>
          <w:bdr w:val="none" w:sz="0" w:space="0" w:color="auto" w:frame="1"/>
        </w:rPr>
        <w:t>і органів суддівського врядування, прийнятому на 121-му пленарному засіданні (м. Венеція, 6</w:t>
      </w:r>
      <w:r w:rsidRPr="0085391E">
        <w:rPr>
          <w:b/>
          <w:szCs w:val="28"/>
        </w:rPr>
        <w:t>–</w:t>
      </w:r>
      <w:r w:rsidRPr="0085391E">
        <w:rPr>
          <w:rStyle w:val="a8"/>
          <w:b w:val="0"/>
          <w:color w:val="000000"/>
          <w:szCs w:val="28"/>
          <w:bdr w:val="none" w:sz="0" w:space="0" w:color="auto" w:frame="1"/>
        </w:rPr>
        <w:t>7 грудня 2019 року)</w:t>
      </w:r>
      <w:r w:rsidRPr="006B5698">
        <w:rPr>
          <w:rStyle w:val="a8"/>
          <w:b w:val="0"/>
          <w:color w:val="000000"/>
          <w:szCs w:val="28"/>
          <w:bdr w:val="none" w:sz="0" w:space="0" w:color="auto" w:frame="1"/>
        </w:rPr>
        <w:t>,</w:t>
      </w:r>
      <w:r>
        <w:rPr>
          <w:color w:val="000000"/>
          <w:szCs w:val="28"/>
        </w:rPr>
        <w:t xml:space="preserve"> </w:t>
      </w:r>
      <w:r w:rsidRPr="002A371F">
        <w:rPr>
          <w:color w:val="000000"/>
          <w:szCs w:val="28"/>
          <w:shd w:val="clear" w:color="auto" w:fill="FFFFFF"/>
        </w:rPr>
        <w:t xml:space="preserve">наголосила, що </w:t>
      </w:r>
      <w:r>
        <w:rPr>
          <w:color w:val="000000"/>
          <w:szCs w:val="28"/>
          <w:shd w:val="clear" w:color="auto" w:fill="FFFFFF"/>
        </w:rPr>
        <w:t>ч</w:t>
      </w:r>
      <w:r w:rsidRPr="002A371F">
        <w:rPr>
          <w:color w:val="000000"/>
          <w:szCs w:val="28"/>
          <w:shd w:val="clear" w:color="auto" w:fill="FFFFFF"/>
        </w:rPr>
        <w:t>асті зміни правил стосовно судових установ і призначень можуть призвести до різноманітних</w:t>
      </w:r>
      <w:r w:rsidRPr="00DD1CFE">
        <w:rPr>
          <w:color w:val="000000"/>
          <w:szCs w:val="28"/>
          <w:shd w:val="clear" w:color="auto" w:fill="FFFFFF"/>
        </w:rPr>
        <w:t xml:space="preserve"> тлумачень, в тому числі навіть до приписування недобросовісних намірів, яким можуть слугувати </w:t>
      </w:r>
      <w:r>
        <w:rPr>
          <w:color w:val="000000"/>
          <w:szCs w:val="28"/>
          <w:shd w:val="clear" w:color="auto" w:fill="FFFFFF"/>
        </w:rPr>
        <w:t>ці</w:t>
      </w:r>
      <w:r w:rsidRPr="00DD1CFE">
        <w:rPr>
          <w:color w:val="000000"/>
          <w:szCs w:val="28"/>
          <w:shd w:val="clear" w:color="auto" w:fill="FFFFFF"/>
        </w:rPr>
        <w:t xml:space="preserve"> зміни</w:t>
      </w:r>
      <w:r>
        <w:rPr>
          <w:color w:val="000000"/>
          <w:szCs w:val="28"/>
          <w:shd w:val="clear" w:color="auto" w:fill="FFFFFF"/>
        </w:rPr>
        <w:t>.</w:t>
      </w:r>
    </w:p>
    <w:p w:rsidR="0085391E" w:rsidRDefault="0085391E" w:rsidP="0085391E">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Чинна правова база сприяє незалежності органів самоврядування, зокрема Вищої ради правосуддя, щодо способу призначення їхніх членів, терміну повноважень та наявності гарантій протидії зовнішньому тиску. Судове самоврядування на сьогодні діє відповідно до закону, захищаючи професійні інтереси суддів і приймаючи рішення про їхню внутрішню діяльність. Чинна нормативно-правова база чітко сприяє незалежності органів судового </w:t>
      </w:r>
      <w:r w:rsidRPr="00B224B1">
        <w:rPr>
          <w:rFonts w:ascii="Times New Roman" w:hAnsi="Times New Roman" w:cs="Times New Roman"/>
          <w:sz w:val="28"/>
          <w:szCs w:val="28"/>
        </w:rPr>
        <w:t>самоврядування</w:t>
      </w:r>
      <w:r w:rsidRPr="00B224B1">
        <w:rPr>
          <w:rStyle w:val="a7"/>
          <w:rFonts w:ascii="Times New Roman" w:hAnsi="Times New Roman"/>
          <w:sz w:val="28"/>
          <w:szCs w:val="28"/>
        </w:rPr>
        <w:footnoteReference w:id="4"/>
      </w:r>
      <w:r w:rsidRPr="00B224B1">
        <w:rPr>
          <w:rFonts w:ascii="Times New Roman" w:hAnsi="Times New Roman" w:cs="Times New Roman"/>
          <w:sz w:val="28"/>
          <w:szCs w:val="28"/>
        </w:rPr>
        <w:t xml:space="preserve">. </w:t>
      </w:r>
    </w:p>
    <w:p w:rsidR="0085391E" w:rsidRPr="00B224B1" w:rsidRDefault="0085391E" w:rsidP="0085391E">
      <w:pPr>
        <w:pStyle w:val="Default"/>
        <w:ind w:firstLine="709"/>
        <w:jc w:val="both"/>
        <w:rPr>
          <w:rFonts w:ascii="Times New Roman" w:hAnsi="Times New Roman" w:cs="Times New Roman"/>
          <w:sz w:val="28"/>
          <w:szCs w:val="28"/>
        </w:rPr>
      </w:pPr>
    </w:p>
    <w:p w:rsidR="0085391E" w:rsidRPr="00C444F1" w:rsidRDefault="0085391E" w:rsidP="0085391E">
      <w:pPr>
        <w:pStyle w:val="a3"/>
        <w:ind w:firstLine="851"/>
        <w:jc w:val="both"/>
        <w:rPr>
          <w:bCs/>
          <w:color w:val="000000"/>
          <w:szCs w:val="28"/>
        </w:rPr>
      </w:pPr>
      <w:r>
        <w:rPr>
          <w:rStyle w:val="rvts9"/>
          <w:color w:val="000000"/>
          <w:szCs w:val="28"/>
        </w:rPr>
        <w:t xml:space="preserve">4. </w:t>
      </w:r>
      <w:r w:rsidRPr="007109E6">
        <w:rPr>
          <w:rStyle w:val="rvts9"/>
          <w:color w:val="000000"/>
          <w:szCs w:val="28"/>
        </w:rPr>
        <w:t xml:space="preserve"> </w:t>
      </w:r>
      <w:r>
        <w:rPr>
          <w:szCs w:val="28"/>
          <w:shd w:val="clear" w:color="auto" w:fill="FFFFFF"/>
        </w:rPr>
        <w:t xml:space="preserve">Окремо </w:t>
      </w:r>
      <w:r w:rsidRPr="00DD1CFE">
        <w:rPr>
          <w:rStyle w:val="rvts9"/>
          <w:color w:val="000000"/>
          <w:szCs w:val="28"/>
        </w:rPr>
        <w:t>слід зазначити, що</w:t>
      </w:r>
      <w:r w:rsidRPr="007109E6">
        <w:rPr>
          <w:rStyle w:val="rvts9"/>
          <w:color w:val="000000"/>
          <w:szCs w:val="28"/>
        </w:rPr>
        <w:t xml:space="preserve"> відповідно до </w:t>
      </w:r>
      <w:r>
        <w:rPr>
          <w:rStyle w:val="rvts9"/>
          <w:color w:val="000000"/>
          <w:szCs w:val="28"/>
        </w:rPr>
        <w:t xml:space="preserve">положень </w:t>
      </w:r>
      <w:r w:rsidRPr="007109E6">
        <w:rPr>
          <w:rStyle w:val="rvts9"/>
          <w:color w:val="000000"/>
          <w:szCs w:val="28"/>
        </w:rPr>
        <w:t>статті 9 Закону Україн</w:t>
      </w:r>
      <w:r>
        <w:rPr>
          <w:rStyle w:val="rvts9"/>
          <w:color w:val="000000"/>
          <w:szCs w:val="28"/>
        </w:rPr>
        <w:t>и</w:t>
      </w:r>
      <w:r w:rsidRPr="007109E6">
        <w:rPr>
          <w:rStyle w:val="rvts9"/>
          <w:color w:val="000000"/>
          <w:szCs w:val="28"/>
        </w:rPr>
        <w:t xml:space="preserve"> «Про</w:t>
      </w:r>
      <w:r>
        <w:rPr>
          <w:rStyle w:val="rvts9"/>
          <w:color w:val="000000"/>
          <w:szCs w:val="28"/>
        </w:rPr>
        <w:t xml:space="preserve"> </w:t>
      </w:r>
      <w:r w:rsidRPr="007109E6">
        <w:rPr>
          <w:rStyle w:val="rvts9"/>
          <w:color w:val="000000"/>
          <w:szCs w:val="28"/>
        </w:rPr>
        <w:t>Вищий антикорупційний суд» від 7 червня 2018 року </w:t>
      </w:r>
      <w:r>
        <w:rPr>
          <w:rStyle w:val="rvts9"/>
          <w:color w:val="000000"/>
          <w:szCs w:val="28"/>
        </w:rPr>
        <w:t xml:space="preserve">                 </w:t>
      </w:r>
      <w:r w:rsidRPr="007109E6">
        <w:rPr>
          <w:rStyle w:val="rvts9"/>
          <w:color w:val="000000"/>
          <w:szCs w:val="28"/>
        </w:rPr>
        <w:t>№ 2447-</w:t>
      </w:r>
      <w:r w:rsidRPr="007109E6">
        <w:rPr>
          <w:rStyle w:val="rvts9"/>
          <w:color w:val="000000"/>
          <w:szCs w:val="28"/>
          <w:lang w:val="en-US"/>
        </w:rPr>
        <w:t>VIII</w:t>
      </w:r>
      <w:r w:rsidRPr="007109E6">
        <w:rPr>
          <w:rStyle w:val="rvts9"/>
          <w:color w:val="000000"/>
          <w:szCs w:val="28"/>
        </w:rPr>
        <w:t xml:space="preserve"> </w:t>
      </w:r>
      <w:bookmarkStart w:id="8" w:name="n62"/>
      <w:bookmarkEnd w:id="8"/>
      <w:r>
        <w:rPr>
          <w:color w:val="000000"/>
          <w:szCs w:val="28"/>
        </w:rPr>
        <w:t xml:space="preserve">(далі – Закон № </w:t>
      </w:r>
      <w:r w:rsidRPr="007109E6">
        <w:rPr>
          <w:rStyle w:val="rvts9"/>
          <w:color w:val="000000"/>
          <w:szCs w:val="28"/>
        </w:rPr>
        <w:t>2447-</w:t>
      </w:r>
      <w:r w:rsidRPr="007109E6">
        <w:rPr>
          <w:rStyle w:val="rvts9"/>
          <w:color w:val="000000"/>
          <w:szCs w:val="28"/>
          <w:lang w:val="en-US"/>
        </w:rPr>
        <w:t>VIII</w:t>
      </w:r>
      <w:r>
        <w:rPr>
          <w:color w:val="000000"/>
          <w:szCs w:val="28"/>
        </w:rPr>
        <w:t>) Г</w:t>
      </w:r>
      <w:r w:rsidRPr="007109E6">
        <w:rPr>
          <w:color w:val="000000"/>
          <w:szCs w:val="28"/>
        </w:rPr>
        <w:t>ромадська рада міжнародних експертів утворюється строком на шість років Вищою кваліфікаційною комісією суддів України для сприяння їй у підготовці рішень з питань призначення на посади суддів Вищого антикорупційного суду та є її допоміжним органом.</w:t>
      </w:r>
      <w:bookmarkStart w:id="9" w:name="n63"/>
      <w:bookmarkEnd w:id="9"/>
      <w:r>
        <w:rPr>
          <w:color w:val="000000"/>
          <w:szCs w:val="28"/>
        </w:rPr>
        <w:t xml:space="preserve"> </w:t>
      </w:r>
      <w:r w:rsidRPr="007109E6">
        <w:rPr>
          <w:color w:val="000000"/>
          <w:szCs w:val="28"/>
        </w:rPr>
        <w:t>Громадська рада міжнародних експертів виконує свої повноваження у складі шести членів, які призначаються Вищою кваліфікаційною комісією суддів України виключно на підставі пропозицій міжнародних організацій, з якими Україна співпрацює у сфері запобігання та протидії корупції відповідно до міжнародних договорів України</w:t>
      </w:r>
      <w:bookmarkStart w:id="10" w:name="n65"/>
      <w:bookmarkEnd w:id="10"/>
      <w:r>
        <w:rPr>
          <w:color w:val="000000"/>
          <w:szCs w:val="28"/>
        </w:rPr>
        <w:t>.</w:t>
      </w:r>
    </w:p>
    <w:p w:rsidR="0085391E" w:rsidRPr="00C55C7B" w:rsidRDefault="0085391E" w:rsidP="0085391E">
      <w:pPr>
        <w:pStyle w:val="a3"/>
        <w:ind w:firstLine="851"/>
        <w:jc w:val="both"/>
        <w:rPr>
          <w:color w:val="000000"/>
          <w:szCs w:val="28"/>
        </w:rPr>
      </w:pPr>
      <w:r>
        <w:rPr>
          <w:szCs w:val="28"/>
        </w:rPr>
        <w:t xml:space="preserve">Таким чином, зі змісту цієї статті вбачається, що Громадська </w:t>
      </w:r>
      <w:r w:rsidRPr="007109E6">
        <w:rPr>
          <w:color w:val="000000"/>
          <w:szCs w:val="28"/>
        </w:rPr>
        <w:t>рада міжнародних експертів</w:t>
      </w:r>
      <w:r>
        <w:rPr>
          <w:color w:val="000000"/>
          <w:szCs w:val="28"/>
        </w:rPr>
        <w:t xml:space="preserve"> створена з відповідною конкретно визначеною метою – сприяння </w:t>
      </w:r>
      <w:r w:rsidRPr="007109E6">
        <w:rPr>
          <w:color w:val="000000"/>
          <w:szCs w:val="28"/>
        </w:rPr>
        <w:t>Вищ</w:t>
      </w:r>
      <w:r>
        <w:rPr>
          <w:color w:val="000000"/>
          <w:szCs w:val="28"/>
        </w:rPr>
        <w:t xml:space="preserve">ій </w:t>
      </w:r>
      <w:r w:rsidRPr="007109E6">
        <w:rPr>
          <w:color w:val="000000"/>
          <w:szCs w:val="28"/>
        </w:rPr>
        <w:t>кваліфікаційн</w:t>
      </w:r>
      <w:r>
        <w:rPr>
          <w:color w:val="000000"/>
          <w:szCs w:val="28"/>
        </w:rPr>
        <w:t>ій</w:t>
      </w:r>
      <w:r w:rsidRPr="007109E6">
        <w:rPr>
          <w:color w:val="000000"/>
          <w:szCs w:val="28"/>
        </w:rPr>
        <w:t xml:space="preserve"> комісі</w:t>
      </w:r>
      <w:r>
        <w:rPr>
          <w:color w:val="000000"/>
          <w:szCs w:val="28"/>
        </w:rPr>
        <w:t>ї</w:t>
      </w:r>
      <w:r w:rsidRPr="007109E6">
        <w:rPr>
          <w:color w:val="000000"/>
          <w:szCs w:val="28"/>
        </w:rPr>
        <w:t xml:space="preserve"> суддів України</w:t>
      </w:r>
      <w:r w:rsidRPr="004A2C2D">
        <w:rPr>
          <w:color w:val="000000"/>
          <w:szCs w:val="28"/>
        </w:rPr>
        <w:t xml:space="preserve"> </w:t>
      </w:r>
      <w:r>
        <w:rPr>
          <w:color w:val="000000"/>
          <w:szCs w:val="28"/>
        </w:rPr>
        <w:t xml:space="preserve">у </w:t>
      </w:r>
      <w:r w:rsidRPr="007109E6">
        <w:rPr>
          <w:color w:val="000000"/>
          <w:szCs w:val="28"/>
        </w:rPr>
        <w:t>підготовці рішень з питань призначення на посади суддів Вищого антикорупційного суду</w:t>
      </w:r>
      <w:r w:rsidRPr="003A6252">
        <w:rPr>
          <w:color w:val="000000"/>
          <w:szCs w:val="28"/>
        </w:rPr>
        <w:t>.</w:t>
      </w:r>
      <w:r>
        <w:rPr>
          <w:color w:val="000000"/>
          <w:szCs w:val="28"/>
        </w:rPr>
        <w:t xml:space="preserve"> З огляду на вказану мету Законом № </w:t>
      </w:r>
      <w:r w:rsidRPr="007109E6">
        <w:rPr>
          <w:rStyle w:val="rvts9"/>
          <w:color w:val="000000"/>
          <w:szCs w:val="28"/>
        </w:rPr>
        <w:t>2447-</w:t>
      </w:r>
      <w:r w:rsidRPr="007109E6">
        <w:rPr>
          <w:rStyle w:val="rvts9"/>
          <w:color w:val="000000"/>
          <w:szCs w:val="28"/>
          <w:lang w:val="en-US"/>
        </w:rPr>
        <w:t>VIII</w:t>
      </w:r>
      <w:r>
        <w:rPr>
          <w:rStyle w:val="rvts9"/>
          <w:color w:val="000000"/>
          <w:szCs w:val="28"/>
        </w:rPr>
        <w:t xml:space="preserve"> передбачено, що саме </w:t>
      </w:r>
      <w:r w:rsidRPr="007109E6">
        <w:rPr>
          <w:color w:val="000000"/>
          <w:szCs w:val="28"/>
        </w:rPr>
        <w:t>Вища кваліфікаційна комісія суддів України приймає рішення про призначення членів Громадської ради міжнародних експертів</w:t>
      </w:r>
      <w:r>
        <w:rPr>
          <w:color w:val="000000"/>
          <w:szCs w:val="28"/>
        </w:rPr>
        <w:t>.</w:t>
      </w:r>
    </w:p>
    <w:p w:rsidR="0085391E" w:rsidRDefault="0085391E" w:rsidP="0085391E">
      <w:pPr>
        <w:pStyle w:val="a3"/>
        <w:ind w:firstLine="851"/>
        <w:jc w:val="both"/>
        <w:rPr>
          <w:szCs w:val="28"/>
          <w:shd w:val="clear" w:color="auto" w:fill="FFFFFF"/>
        </w:rPr>
      </w:pPr>
      <w:r w:rsidRPr="00DE1DE1">
        <w:rPr>
          <w:szCs w:val="28"/>
        </w:rPr>
        <w:t xml:space="preserve">Рішенням </w:t>
      </w:r>
      <w:r w:rsidRPr="00DE1DE1">
        <w:rPr>
          <w:bCs/>
          <w:szCs w:val="28"/>
          <w:shd w:val="clear" w:color="auto" w:fill="FFFFFF"/>
        </w:rPr>
        <w:t>Вищої кваліфікаційної комісії суддів України</w:t>
      </w:r>
      <w:r w:rsidRPr="00DE1DE1">
        <w:rPr>
          <w:szCs w:val="28"/>
        </w:rPr>
        <w:t xml:space="preserve"> від </w:t>
      </w:r>
      <w:r w:rsidRPr="00DE1DE1">
        <w:rPr>
          <w:szCs w:val="28"/>
          <w:shd w:val="clear" w:color="auto" w:fill="FFFFFF"/>
        </w:rPr>
        <w:t xml:space="preserve">6 листопада 2018 року сформовано поточний склад </w:t>
      </w:r>
      <w:r w:rsidRPr="008A233A">
        <w:rPr>
          <w:szCs w:val="28"/>
        </w:rPr>
        <w:t xml:space="preserve">Громадської </w:t>
      </w:r>
      <w:r w:rsidRPr="008A233A">
        <w:rPr>
          <w:color w:val="000000"/>
          <w:szCs w:val="28"/>
        </w:rPr>
        <w:t>ради міжнародних експертів</w:t>
      </w:r>
      <w:r w:rsidRPr="00DE1DE1">
        <w:rPr>
          <w:szCs w:val="28"/>
          <w:shd w:val="clear" w:color="auto" w:fill="FFFFFF"/>
        </w:rPr>
        <w:t xml:space="preserve"> із шести членів.</w:t>
      </w:r>
    </w:p>
    <w:p w:rsidR="0085391E" w:rsidRPr="00224444" w:rsidRDefault="0085391E" w:rsidP="0085391E">
      <w:pPr>
        <w:pStyle w:val="a3"/>
        <w:ind w:firstLine="851"/>
        <w:jc w:val="both"/>
        <w:rPr>
          <w:color w:val="000000"/>
          <w:szCs w:val="28"/>
        </w:rPr>
      </w:pPr>
      <w:r>
        <w:rPr>
          <w:szCs w:val="28"/>
          <w:shd w:val="clear" w:color="auto" w:fill="FFFFFF"/>
        </w:rPr>
        <w:t xml:space="preserve">Очевидно, що </w:t>
      </w:r>
      <w:r w:rsidRPr="008A233A">
        <w:rPr>
          <w:szCs w:val="28"/>
        </w:rPr>
        <w:t>Громадськ</w:t>
      </w:r>
      <w:r>
        <w:rPr>
          <w:szCs w:val="28"/>
        </w:rPr>
        <w:t xml:space="preserve">а </w:t>
      </w:r>
      <w:r w:rsidRPr="008A233A">
        <w:rPr>
          <w:color w:val="000000"/>
          <w:szCs w:val="28"/>
        </w:rPr>
        <w:t>рад</w:t>
      </w:r>
      <w:r>
        <w:rPr>
          <w:color w:val="000000"/>
          <w:szCs w:val="28"/>
        </w:rPr>
        <w:t>а</w:t>
      </w:r>
      <w:r w:rsidRPr="008A233A">
        <w:rPr>
          <w:color w:val="000000"/>
          <w:szCs w:val="28"/>
        </w:rPr>
        <w:t xml:space="preserve"> міжнародних експертів</w:t>
      </w:r>
      <w:r>
        <w:rPr>
          <w:color w:val="000000"/>
          <w:szCs w:val="28"/>
        </w:rPr>
        <w:t xml:space="preserve"> є тимчасовим допоміжним органом Вищої кваліфікаційної комісії суддів України, строковість дії та порядок утворення і діяльності якого </w:t>
      </w:r>
      <w:r>
        <w:rPr>
          <w:szCs w:val="28"/>
        </w:rPr>
        <w:t>передбачена законодавством.</w:t>
      </w:r>
      <w:r>
        <w:rPr>
          <w:color w:val="000000"/>
          <w:szCs w:val="28"/>
        </w:rPr>
        <w:t xml:space="preserve"> Натомість </w:t>
      </w:r>
      <w:r w:rsidRPr="003A6252">
        <w:rPr>
          <w:szCs w:val="28"/>
        </w:rPr>
        <w:t>законопроект</w:t>
      </w:r>
      <w:r>
        <w:rPr>
          <w:szCs w:val="28"/>
        </w:rPr>
        <w:t>ом</w:t>
      </w:r>
      <w:r w:rsidRPr="003A6252">
        <w:rPr>
          <w:szCs w:val="28"/>
        </w:rPr>
        <w:t xml:space="preserve"> № 2536</w:t>
      </w:r>
      <w:r>
        <w:rPr>
          <w:szCs w:val="28"/>
        </w:rPr>
        <w:t xml:space="preserve"> пропонуються зміни до </w:t>
      </w:r>
      <w:r w:rsidRPr="0083672C">
        <w:rPr>
          <w:szCs w:val="28"/>
        </w:rPr>
        <w:t>Закону № 1798</w:t>
      </w:r>
      <w:r>
        <w:rPr>
          <w:szCs w:val="28"/>
        </w:rPr>
        <w:t xml:space="preserve"> </w:t>
      </w:r>
      <w:r>
        <w:rPr>
          <w:szCs w:val="28"/>
        </w:rPr>
        <w:lastRenderedPageBreak/>
        <w:t xml:space="preserve">щодо </w:t>
      </w:r>
      <w:r w:rsidRPr="0083672C">
        <w:rPr>
          <w:szCs w:val="28"/>
        </w:rPr>
        <w:t>порядку</w:t>
      </w:r>
      <w:r>
        <w:rPr>
          <w:szCs w:val="28"/>
        </w:rPr>
        <w:t xml:space="preserve"> обрання членів Вищої ради правосуддя без будь-яких часових обмежень.</w:t>
      </w:r>
    </w:p>
    <w:p w:rsidR="0085391E" w:rsidRPr="001E52D8" w:rsidRDefault="0085391E" w:rsidP="0085391E">
      <w:pPr>
        <w:pStyle w:val="a3"/>
        <w:ind w:firstLine="851"/>
        <w:jc w:val="both"/>
        <w:rPr>
          <w:szCs w:val="28"/>
        </w:rPr>
      </w:pPr>
      <w:r>
        <w:rPr>
          <w:szCs w:val="28"/>
        </w:rPr>
        <w:t xml:space="preserve">На сьогодні </w:t>
      </w:r>
      <w:r w:rsidRPr="008A233A">
        <w:rPr>
          <w:szCs w:val="28"/>
        </w:rPr>
        <w:t>Громадськ</w:t>
      </w:r>
      <w:r>
        <w:rPr>
          <w:szCs w:val="28"/>
        </w:rPr>
        <w:t xml:space="preserve">а </w:t>
      </w:r>
      <w:r w:rsidRPr="008A233A">
        <w:rPr>
          <w:color w:val="000000"/>
          <w:szCs w:val="28"/>
        </w:rPr>
        <w:t>рад</w:t>
      </w:r>
      <w:r>
        <w:rPr>
          <w:color w:val="000000"/>
          <w:szCs w:val="28"/>
        </w:rPr>
        <w:t>а</w:t>
      </w:r>
      <w:r w:rsidRPr="008A233A">
        <w:rPr>
          <w:color w:val="000000"/>
          <w:szCs w:val="28"/>
        </w:rPr>
        <w:t xml:space="preserve"> міжнародних експертів</w:t>
      </w:r>
      <w:r>
        <w:rPr>
          <w:color w:val="000000"/>
          <w:szCs w:val="28"/>
        </w:rPr>
        <w:t xml:space="preserve"> фактично виконала завдання, з метою виконання яких вона була створена</w:t>
      </w:r>
      <w:r w:rsidRPr="001E52D8">
        <w:rPr>
          <w:color w:val="000000"/>
          <w:szCs w:val="28"/>
        </w:rPr>
        <w:t xml:space="preserve"> </w:t>
      </w:r>
      <w:r>
        <w:rPr>
          <w:color w:val="000000"/>
          <w:szCs w:val="28"/>
        </w:rPr>
        <w:t xml:space="preserve">Законом № </w:t>
      </w:r>
      <w:r w:rsidRPr="007109E6">
        <w:rPr>
          <w:rStyle w:val="rvts9"/>
          <w:color w:val="000000"/>
          <w:szCs w:val="28"/>
        </w:rPr>
        <w:t>2447-</w:t>
      </w:r>
      <w:r w:rsidRPr="007109E6">
        <w:rPr>
          <w:rStyle w:val="rvts9"/>
          <w:color w:val="000000"/>
          <w:szCs w:val="28"/>
          <w:lang w:val="en-US"/>
        </w:rPr>
        <w:t>VIII</w:t>
      </w:r>
      <w:r>
        <w:rPr>
          <w:rStyle w:val="rvts9"/>
          <w:color w:val="000000"/>
          <w:szCs w:val="28"/>
        </w:rPr>
        <w:t>.</w:t>
      </w:r>
    </w:p>
    <w:p w:rsidR="0085391E" w:rsidRPr="00B224B1" w:rsidRDefault="0085391E" w:rsidP="0085391E">
      <w:pPr>
        <w:pStyle w:val="a3"/>
        <w:ind w:firstLine="851"/>
        <w:jc w:val="both"/>
        <w:rPr>
          <w:szCs w:val="28"/>
        </w:rPr>
      </w:pPr>
      <w:r>
        <w:rPr>
          <w:rFonts w:cs="Times New Roman"/>
          <w:szCs w:val="28"/>
        </w:rPr>
        <w:t xml:space="preserve">При цьому слід зазначити, що </w:t>
      </w:r>
      <w:r w:rsidRPr="00B224B1">
        <w:rPr>
          <w:rFonts w:cs="Times New Roman"/>
          <w:szCs w:val="28"/>
        </w:rPr>
        <w:t>Закон</w:t>
      </w:r>
      <w:r>
        <w:rPr>
          <w:rFonts w:cs="Times New Roman"/>
          <w:szCs w:val="28"/>
        </w:rPr>
        <w:t>ом</w:t>
      </w:r>
      <w:r w:rsidRPr="00B224B1">
        <w:rPr>
          <w:rFonts w:cs="Times New Roman"/>
          <w:szCs w:val="28"/>
        </w:rPr>
        <w:t xml:space="preserve"> </w:t>
      </w:r>
      <w:r>
        <w:rPr>
          <w:rFonts w:cs="Times New Roman"/>
          <w:szCs w:val="28"/>
        </w:rPr>
        <w:t>№ 193-</w:t>
      </w:r>
      <w:r>
        <w:rPr>
          <w:rFonts w:cs="Times New Roman"/>
          <w:szCs w:val="28"/>
          <w:lang w:val="en-US"/>
        </w:rPr>
        <w:t>IX</w:t>
      </w:r>
      <w:r>
        <w:rPr>
          <w:szCs w:val="28"/>
        </w:rPr>
        <w:t xml:space="preserve"> </w:t>
      </w:r>
      <w:r>
        <w:rPr>
          <w:color w:val="000000"/>
          <w:szCs w:val="28"/>
        </w:rPr>
        <w:t>діяльність членів Вищої кваліфікаційної комісії суддів України припинено (</w:t>
      </w:r>
      <w:r w:rsidRPr="000A3773">
        <w:rPr>
          <w:bCs/>
          <w:color w:val="000000"/>
          <w:szCs w:val="28"/>
          <w:shd w:val="clear" w:color="auto" w:fill="FFFFFF"/>
        </w:rPr>
        <w:t xml:space="preserve">пункт </w:t>
      </w:r>
      <w:r>
        <w:rPr>
          <w:bCs/>
          <w:color w:val="000000"/>
          <w:szCs w:val="28"/>
          <w:shd w:val="clear" w:color="auto" w:fill="FFFFFF"/>
        </w:rPr>
        <w:t>2 розділу ІІ</w:t>
      </w:r>
      <w:r w:rsidRPr="000A3773">
        <w:rPr>
          <w:bCs/>
          <w:color w:val="000000"/>
          <w:szCs w:val="28"/>
          <w:shd w:val="clear" w:color="auto" w:fill="FFFFFF"/>
        </w:rPr>
        <w:t xml:space="preserve"> </w:t>
      </w:r>
      <w:r>
        <w:rPr>
          <w:bCs/>
          <w:color w:val="000000"/>
          <w:szCs w:val="28"/>
          <w:shd w:val="clear" w:color="auto" w:fill="FFFFFF"/>
        </w:rPr>
        <w:t>«</w:t>
      </w:r>
      <w:r w:rsidRPr="000A3773">
        <w:rPr>
          <w:bCs/>
          <w:color w:val="000000"/>
          <w:szCs w:val="28"/>
          <w:shd w:val="clear" w:color="auto" w:fill="FFFFFF"/>
        </w:rPr>
        <w:t>Прикінцеві та перехідні положення</w:t>
      </w:r>
      <w:r>
        <w:rPr>
          <w:bCs/>
          <w:color w:val="000000"/>
          <w:szCs w:val="28"/>
          <w:shd w:val="clear" w:color="auto" w:fill="FFFFFF"/>
        </w:rPr>
        <w:t>»)</w:t>
      </w:r>
      <w:r>
        <w:rPr>
          <w:color w:val="000000"/>
          <w:szCs w:val="28"/>
        </w:rPr>
        <w:t xml:space="preserve"> та  </w:t>
      </w:r>
      <w:r w:rsidRPr="00B224B1">
        <w:rPr>
          <w:szCs w:val="28"/>
        </w:rPr>
        <w:t>вне</w:t>
      </w:r>
      <w:r>
        <w:rPr>
          <w:szCs w:val="28"/>
        </w:rPr>
        <w:t xml:space="preserve">сено </w:t>
      </w:r>
      <w:r w:rsidRPr="00B224B1">
        <w:rPr>
          <w:szCs w:val="28"/>
        </w:rPr>
        <w:t>зм</w:t>
      </w:r>
      <w:r>
        <w:rPr>
          <w:szCs w:val="28"/>
        </w:rPr>
        <w:t xml:space="preserve">іни до Закону України «Про судоустрій і статус суддів» щодо формування складу Вищої кваліфікаційної комісії суддів України, члени якої наразі призначаються Вищою радою правосуддя. </w:t>
      </w:r>
    </w:p>
    <w:p w:rsidR="0085391E" w:rsidRPr="00553352" w:rsidRDefault="0085391E" w:rsidP="0085391E">
      <w:pPr>
        <w:pStyle w:val="a3"/>
        <w:ind w:firstLine="851"/>
        <w:jc w:val="both"/>
        <w:rPr>
          <w:szCs w:val="28"/>
        </w:rPr>
      </w:pPr>
      <w:r w:rsidRPr="0085391E">
        <w:rPr>
          <w:rStyle w:val="a8"/>
          <w:b w:val="0"/>
          <w:szCs w:val="28"/>
          <w:bdr w:val="none" w:sz="0" w:space="0" w:color="auto" w:frame="1"/>
        </w:rPr>
        <w:t>Венеційська</w:t>
      </w:r>
      <w:r w:rsidRPr="0085391E">
        <w:rPr>
          <w:rStyle w:val="a8"/>
          <w:b w:val="0"/>
          <w:color w:val="000000"/>
          <w:szCs w:val="28"/>
          <w:bdr w:val="none" w:sz="0" w:space="0" w:color="auto" w:frame="1"/>
        </w:rPr>
        <w:t xml:space="preserve"> комісія у своєму висновку щодо змін до правових рамок, які регулюють діяльність Верховного суду</w:t>
      </w:r>
      <w:r w:rsidRPr="0085391E">
        <w:rPr>
          <w:b/>
          <w:color w:val="000000"/>
          <w:szCs w:val="28"/>
        </w:rPr>
        <w:t xml:space="preserve"> </w:t>
      </w:r>
      <w:r w:rsidRPr="0085391E">
        <w:rPr>
          <w:rStyle w:val="a8"/>
          <w:b w:val="0"/>
          <w:color w:val="000000"/>
          <w:szCs w:val="28"/>
          <w:bdr w:val="none" w:sz="0" w:space="0" w:color="auto" w:frame="1"/>
        </w:rPr>
        <w:t>і органів суддівського врядування, прийнятому на 121-му пл</w:t>
      </w:r>
      <w:r>
        <w:rPr>
          <w:rStyle w:val="a8"/>
          <w:b w:val="0"/>
          <w:color w:val="000000"/>
          <w:szCs w:val="28"/>
          <w:bdr w:val="none" w:sz="0" w:space="0" w:color="auto" w:frame="1"/>
        </w:rPr>
        <w:t xml:space="preserve">енарному засіданні (м. Венеція,               </w:t>
      </w:r>
      <w:r w:rsidRPr="0085391E">
        <w:rPr>
          <w:rStyle w:val="a8"/>
          <w:b w:val="0"/>
          <w:color w:val="000000"/>
          <w:szCs w:val="28"/>
          <w:bdr w:val="none" w:sz="0" w:space="0" w:color="auto" w:frame="1"/>
        </w:rPr>
        <w:t>6</w:t>
      </w:r>
      <w:r w:rsidRPr="0085391E">
        <w:rPr>
          <w:b/>
          <w:szCs w:val="28"/>
        </w:rPr>
        <w:t>–</w:t>
      </w:r>
      <w:r w:rsidRPr="0085391E">
        <w:rPr>
          <w:rStyle w:val="a8"/>
          <w:b w:val="0"/>
          <w:color w:val="000000"/>
          <w:szCs w:val="28"/>
          <w:bdr w:val="none" w:sz="0" w:space="0" w:color="auto" w:frame="1"/>
        </w:rPr>
        <w:t>7 грудня 2019 року),</w:t>
      </w:r>
      <w:r>
        <w:rPr>
          <w:color w:val="000000"/>
          <w:szCs w:val="28"/>
          <w:shd w:val="clear" w:color="auto" w:fill="FFFFFF"/>
        </w:rPr>
        <w:t xml:space="preserve"> звернула увагу</w:t>
      </w:r>
      <w:r w:rsidRPr="008A233A">
        <w:rPr>
          <w:color w:val="000000"/>
          <w:szCs w:val="28"/>
          <w:shd w:val="clear" w:color="auto" w:fill="FFFFFF"/>
        </w:rPr>
        <w:t xml:space="preserve">, що </w:t>
      </w:r>
      <w:r>
        <w:rPr>
          <w:color w:val="000000"/>
          <w:szCs w:val="28"/>
          <w:shd w:val="clear" w:color="auto" w:fill="FFFFFF"/>
        </w:rPr>
        <w:t xml:space="preserve">у висновку щодо антикорупційного суду в Україні Комісія вже зазначала, що </w:t>
      </w:r>
      <w:r w:rsidRPr="008A233A">
        <w:rPr>
          <w:color w:val="000000"/>
          <w:szCs w:val="28"/>
          <w:shd w:val="clear" w:color="auto" w:fill="FFFFFF"/>
        </w:rPr>
        <w:t>«міжнародні організації та донори, які активно підтримують антикорупційні програми в України, повинні тимчасово отримати головну роль в органі, який має компетенцію обирати спеціалізованих антикорупційних суддів». Важливо зазначити, що такі органи мають бути призначені лише в період реорганізації до досягнення передбачених результатів. Постійно діюча система може порушити принцип конституційного суверенітету.</w:t>
      </w:r>
    </w:p>
    <w:p w:rsidR="0085391E" w:rsidRPr="00FC2AAF" w:rsidRDefault="0085391E" w:rsidP="0085391E">
      <w:pPr>
        <w:pStyle w:val="a3"/>
        <w:ind w:firstLine="851"/>
        <w:jc w:val="both"/>
        <w:rPr>
          <w:rFonts w:cs="Times New Roman"/>
          <w:i/>
          <w:szCs w:val="28"/>
        </w:rPr>
      </w:pPr>
    </w:p>
    <w:p w:rsidR="0085391E" w:rsidRDefault="0085391E" w:rsidP="0085391E">
      <w:pPr>
        <w:spacing w:after="0" w:line="240" w:lineRule="auto"/>
        <w:ind w:firstLine="709"/>
        <w:jc w:val="both"/>
        <w:rPr>
          <w:rFonts w:cs="Times New Roman"/>
          <w:szCs w:val="28"/>
        </w:rPr>
      </w:pPr>
      <w:r>
        <w:rPr>
          <w:rFonts w:cs="Times New Roman"/>
          <w:szCs w:val="28"/>
          <w:lang w:val="ru-RU"/>
        </w:rPr>
        <w:t xml:space="preserve">5. </w:t>
      </w:r>
      <w:r>
        <w:rPr>
          <w:rFonts w:cs="Times New Roman"/>
          <w:szCs w:val="28"/>
        </w:rPr>
        <w:t>Відповідно до статті 8 Конституції України в Україні визнається і діє принцип верховенства права.</w:t>
      </w:r>
    </w:p>
    <w:p w:rsidR="0085391E" w:rsidRDefault="0085391E" w:rsidP="0085391E">
      <w:pPr>
        <w:spacing w:after="0" w:line="240" w:lineRule="auto"/>
        <w:ind w:firstLine="709"/>
        <w:jc w:val="both"/>
      </w:pPr>
      <w:r>
        <w:t>У рішенні Конституційного Суду України від 22 вересня 2005 року              № 5-рп/2005 зазначено,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пункту 5 мотивувальної частини)</w:t>
      </w:r>
      <w:r>
        <w:rPr>
          <w:rStyle w:val="a7"/>
        </w:rPr>
        <w:footnoteReference w:id="5"/>
      </w:r>
      <w:r>
        <w:t xml:space="preserve">. </w:t>
      </w:r>
    </w:p>
    <w:p w:rsidR="0085391E" w:rsidRDefault="0085391E" w:rsidP="0085391E">
      <w:pPr>
        <w:spacing w:after="0" w:line="240" w:lineRule="auto"/>
        <w:ind w:firstLine="709"/>
        <w:jc w:val="both"/>
      </w:pPr>
      <w:r>
        <w:t>Цим Конституційний Суд України наголосив, що невизначеність, нечіткість правової норми призводить до її неоднакового розуміння та тлумачення, що в практичній площині призводить до різного застосування.</w:t>
      </w:r>
    </w:p>
    <w:p w:rsidR="0085391E" w:rsidRPr="00684C35" w:rsidRDefault="0085391E" w:rsidP="0085391E">
      <w:pPr>
        <w:spacing w:after="0" w:line="240" w:lineRule="auto"/>
        <w:ind w:firstLine="709"/>
        <w:jc w:val="both"/>
        <w:rPr>
          <w:rFonts w:cs="Times New Roman"/>
          <w:szCs w:val="28"/>
        </w:rPr>
      </w:pPr>
      <w:r w:rsidRPr="00684C35">
        <w:rPr>
          <w:rFonts w:cs="Times New Roman"/>
          <w:szCs w:val="28"/>
        </w:rPr>
        <w:t>У</w:t>
      </w:r>
      <w:r w:rsidRPr="00DD1CFE">
        <w:rPr>
          <w:rFonts w:cs="Times New Roman"/>
          <w:szCs w:val="28"/>
        </w:rPr>
        <w:t>згодженість правових норм, відсутність між ними суперечностей належать не лише до загальних умов ефективності законодавства, а й одночасно є важливою закономірністю його функціонування як самостійного, цілісного, системного явища.</w:t>
      </w:r>
    </w:p>
    <w:p w:rsidR="0085391E" w:rsidRPr="00835FC2" w:rsidRDefault="0085391E" w:rsidP="0085391E">
      <w:pPr>
        <w:spacing w:after="0" w:line="240" w:lineRule="auto"/>
        <w:ind w:firstLine="709"/>
        <w:jc w:val="both"/>
        <w:rPr>
          <w:rFonts w:cs="Times New Roman"/>
          <w:color w:val="000000"/>
          <w:szCs w:val="28"/>
          <w:lang w:val="ru-RU"/>
        </w:rPr>
      </w:pPr>
      <w:r>
        <w:rPr>
          <w:rFonts w:cs="Times New Roman"/>
          <w:color w:val="000000"/>
          <w:szCs w:val="28"/>
        </w:rPr>
        <w:t>Є</w:t>
      </w:r>
      <w:r w:rsidRPr="00684C35">
        <w:rPr>
          <w:rFonts w:cs="Times New Roman"/>
          <w:color w:val="000000"/>
          <w:szCs w:val="28"/>
        </w:rPr>
        <w:t xml:space="preserve">вропейський суд з прав людини неодноразово звертав увагу на недосконалість законодавства </w:t>
      </w:r>
      <w:r w:rsidRPr="00356F4B">
        <w:rPr>
          <w:rFonts w:cs="Times New Roman"/>
          <w:color w:val="000000"/>
          <w:szCs w:val="28"/>
        </w:rPr>
        <w:t xml:space="preserve">України й необхідність дотримуватися принципу правової визначеності </w:t>
      </w:r>
      <w:r>
        <w:rPr>
          <w:rFonts w:cs="Times New Roman"/>
          <w:color w:val="000000"/>
          <w:szCs w:val="28"/>
        </w:rPr>
        <w:t xml:space="preserve">та «якості закону» </w:t>
      </w:r>
      <w:r w:rsidRPr="00356F4B">
        <w:rPr>
          <w:rFonts w:cs="Times New Roman"/>
          <w:color w:val="000000"/>
          <w:szCs w:val="28"/>
        </w:rPr>
        <w:t>(</w:t>
      </w:r>
      <w:r>
        <w:rPr>
          <w:rFonts w:cs="Times New Roman"/>
          <w:color w:val="000000"/>
          <w:szCs w:val="28"/>
        </w:rPr>
        <w:t xml:space="preserve">рішення у </w:t>
      </w:r>
      <w:r w:rsidRPr="00356F4B">
        <w:rPr>
          <w:rFonts w:cs="Times New Roman"/>
          <w:color w:val="000000"/>
          <w:szCs w:val="28"/>
        </w:rPr>
        <w:t>справ</w:t>
      </w:r>
      <w:r>
        <w:rPr>
          <w:rFonts w:cs="Times New Roman"/>
          <w:color w:val="000000"/>
          <w:szCs w:val="28"/>
        </w:rPr>
        <w:t>ах</w:t>
      </w:r>
      <w:r w:rsidRPr="00356F4B">
        <w:rPr>
          <w:rFonts w:cs="Times New Roman"/>
          <w:color w:val="000000"/>
          <w:szCs w:val="28"/>
        </w:rPr>
        <w:t xml:space="preserve"> «</w:t>
      </w:r>
      <w:proofErr w:type="spellStart"/>
      <w:r w:rsidRPr="00356F4B">
        <w:rPr>
          <w:rFonts w:cs="Times New Roman"/>
          <w:color w:val="000000"/>
          <w:szCs w:val="28"/>
        </w:rPr>
        <w:t>Корецький</w:t>
      </w:r>
      <w:proofErr w:type="spellEnd"/>
      <w:r w:rsidRPr="00356F4B">
        <w:rPr>
          <w:rFonts w:cs="Times New Roman"/>
          <w:color w:val="000000"/>
          <w:szCs w:val="28"/>
        </w:rPr>
        <w:t xml:space="preserve"> та </w:t>
      </w:r>
      <w:r w:rsidRPr="00356F4B">
        <w:rPr>
          <w:rFonts w:cs="Times New Roman"/>
          <w:color w:val="000000"/>
          <w:szCs w:val="28"/>
        </w:rPr>
        <w:lastRenderedPageBreak/>
        <w:t>інші проти України», «</w:t>
      </w:r>
      <w:proofErr w:type="spellStart"/>
      <w:r w:rsidRPr="00356F4B">
        <w:rPr>
          <w:rFonts w:cs="Times New Roman"/>
          <w:color w:val="000000"/>
          <w:szCs w:val="28"/>
        </w:rPr>
        <w:t>Єлоєв</w:t>
      </w:r>
      <w:proofErr w:type="spellEnd"/>
      <w:r w:rsidRPr="00356F4B">
        <w:rPr>
          <w:rFonts w:cs="Times New Roman"/>
          <w:color w:val="000000"/>
          <w:szCs w:val="28"/>
        </w:rPr>
        <w:t xml:space="preserve"> проти України»</w:t>
      </w:r>
      <w:r>
        <w:rPr>
          <w:rFonts w:cs="Times New Roman"/>
          <w:color w:val="000000"/>
          <w:szCs w:val="28"/>
        </w:rPr>
        <w:t>, «</w:t>
      </w:r>
      <w:proofErr w:type="spellStart"/>
      <w:r>
        <w:rPr>
          <w:rFonts w:cs="Times New Roman"/>
          <w:color w:val="000000"/>
          <w:szCs w:val="28"/>
        </w:rPr>
        <w:t>Новік</w:t>
      </w:r>
      <w:proofErr w:type="spellEnd"/>
      <w:r>
        <w:rPr>
          <w:rFonts w:cs="Times New Roman"/>
          <w:color w:val="000000"/>
          <w:szCs w:val="28"/>
        </w:rPr>
        <w:t xml:space="preserve"> проти України»</w:t>
      </w:r>
      <w:r w:rsidRPr="00356F4B">
        <w:rPr>
          <w:rFonts w:cs="Times New Roman"/>
          <w:color w:val="000000"/>
          <w:szCs w:val="28"/>
        </w:rPr>
        <w:t>).  Відповідно до позиції Європейського суду закон має бути доступний для конкретної особи і сформульований достатньо чітко для того, щоб вона</w:t>
      </w:r>
      <w:r w:rsidRPr="00684C35">
        <w:rPr>
          <w:rFonts w:cs="Times New Roman"/>
          <w:color w:val="000000"/>
          <w:szCs w:val="28"/>
        </w:rPr>
        <w:t xml:space="preserve"> могла передбачити в розумних межах, виходячи з обставин справи, ті наслідки, які може спричинити дія</w:t>
      </w:r>
      <w:r w:rsidRPr="00684C35">
        <w:rPr>
          <w:rFonts w:cs="Times New Roman"/>
          <w:color w:val="000000"/>
          <w:szCs w:val="28"/>
          <w:lang w:val="ru-RU"/>
        </w:rPr>
        <w:t>.</w:t>
      </w:r>
      <w:r w:rsidRPr="00684C35">
        <w:rPr>
          <w:rFonts w:cs="Times New Roman"/>
          <w:color w:val="000000"/>
          <w:szCs w:val="28"/>
        </w:rPr>
        <w:t xml:space="preserve"> </w:t>
      </w:r>
    </w:p>
    <w:p w:rsidR="0085391E" w:rsidRDefault="0085391E" w:rsidP="0085391E">
      <w:pPr>
        <w:spacing w:after="0" w:line="240" w:lineRule="auto"/>
        <w:ind w:firstLine="709"/>
        <w:jc w:val="both"/>
      </w:pPr>
      <w:r>
        <w:rPr>
          <w:lang w:val="ru-RU"/>
        </w:rPr>
        <w:t>П</w:t>
      </w:r>
      <w:proofErr w:type="spellStart"/>
      <w:r>
        <w:t>ринцип</w:t>
      </w:r>
      <w:proofErr w:type="spellEnd"/>
      <w:r>
        <w:t xml:space="preserve"> правової визначеності покликаний гарантувати ефективну дію принципу верховенства права. Він виявляє себе як на етапі правотворчості, так  й на етапі правозастосування. </w:t>
      </w:r>
    </w:p>
    <w:p w:rsidR="0085391E" w:rsidRDefault="0085391E" w:rsidP="0085391E">
      <w:pPr>
        <w:spacing w:after="0" w:line="240" w:lineRule="auto"/>
        <w:ind w:firstLine="709"/>
        <w:jc w:val="both"/>
      </w:pPr>
      <w:r>
        <w:t xml:space="preserve">Вимоги до нормативно-правових актів можуть бути розподілені на змістовні і процедурні. Змістовні вимоги потребують, щоб нормативно-правові акти були зрозумілими (доступними), несуперечливими і пропонували повне врегулювання суспільних відносин, не допускаючи існування прогалин. Цьому сприяє однозначне та відносно стійке значення понять, які використовуються в законодавстві, що також може бути досягнуто за допомогою правових дефініцій. </w:t>
      </w:r>
    </w:p>
    <w:p w:rsidR="0085391E" w:rsidRPr="00D05C82" w:rsidRDefault="0085391E" w:rsidP="0085391E">
      <w:pPr>
        <w:pStyle w:val="a3"/>
        <w:ind w:firstLine="851"/>
        <w:jc w:val="both"/>
        <w:rPr>
          <w:lang w:val="ru-RU"/>
        </w:rPr>
      </w:pPr>
      <w:proofErr w:type="spellStart"/>
      <w:r>
        <w:rPr>
          <w:lang w:val="ru-RU"/>
        </w:rPr>
        <w:t>Д</w:t>
      </w:r>
      <w:r w:rsidRPr="00B017FF">
        <w:rPr>
          <w:lang w:val="ru-RU"/>
        </w:rPr>
        <w:t>ієвим</w:t>
      </w:r>
      <w:proofErr w:type="spellEnd"/>
      <w:r w:rsidRPr="00B017FF">
        <w:rPr>
          <w:lang w:val="ru-RU"/>
        </w:rPr>
        <w:t xml:space="preserve"> та </w:t>
      </w:r>
      <w:proofErr w:type="spellStart"/>
      <w:r w:rsidRPr="00B017FF">
        <w:rPr>
          <w:lang w:val="ru-RU"/>
        </w:rPr>
        <w:t>ефективним</w:t>
      </w:r>
      <w:proofErr w:type="spellEnd"/>
      <w:r w:rsidRPr="00B017FF">
        <w:rPr>
          <w:lang w:val="ru-RU"/>
        </w:rPr>
        <w:t xml:space="preserve"> способом </w:t>
      </w:r>
      <w:proofErr w:type="spellStart"/>
      <w:r w:rsidRPr="00B017FF">
        <w:rPr>
          <w:lang w:val="ru-RU"/>
        </w:rPr>
        <w:t>попередження</w:t>
      </w:r>
      <w:proofErr w:type="spellEnd"/>
      <w:r w:rsidRPr="00B017FF">
        <w:rPr>
          <w:lang w:val="ru-RU"/>
        </w:rPr>
        <w:t xml:space="preserve"> </w:t>
      </w:r>
      <w:proofErr w:type="spellStart"/>
      <w:r w:rsidRPr="00B017FF">
        <w:rPr>
          <w:lang w:val="ru-RU"/>
        </w:rPr>
        <w:t>виникнення</w:t>
      </w:r>
      <w:proofErr w:type="spellEnd"/>
      <w:r w:rsidRPr="00B017FF">
        <w:rPr>
          <w:lang w:val="ru-RU"/>
        </w:rPr>
        <w:t xml:space="preserve"> </w:t>
      </w:r>
      <w:proofErr w:type="spellStart"/>
      <w:r w:rsidRPr="00B017FF">
        <w:rPr>
          <w:lang w:val="ru-RU"/>
        </w:rPr>
        <w:t>юридичних</w:t>
      </w:r>
      <w:proofErr w:type="spellEnd"/>
      <w:r w:rsidRPr="00B017FF">
        <w:rPr>
          <w:lang w:val="ru-RU"/>
        </w:rPr>
        <w:t xml:space="preserve"> </w:t>
      </w:r>
      <w:proofErr w:type="spellStart"/>
      <w:r w:rsidRPr="00B017FF">
        <w:rPr>
          <w:lang w:val="ru-RU"/>
        </w:rPr>
        <w:t>колізій</w:t>
      </w:r>
      <w:proofErr w:type="spellEnd"/>
      <w:r w:rsidRPr="00B017FF">
        <w:rPr>
          <w:lang w:val="ru-RU"/>
        </w:rPr>
        <w:t xml:space="preserve"> </w:t>
      </w:r>
      <w:proofErr w:type="spellStart"/>
      <w:r w:rsidRPr="00B017FF">
        <w:rPr>
          <w:lang w:val="ru-RU"/>
        </w:rPr>
        <w:t>є</w:t>
      </w:r>
      <w:proofErr w:type="spellEnd"/>
      <w:r w:rsidRPr="00B017FF">
        <w:rPr>
          <w:lang w:val="ru-RU"/>
        </w:rPr>
        <w:t xml:space="preserve"> </w:t>
      </w:r>
      <w:proofErr w:type="spellStart"/>
      <w:r w:rsidRPr="00B017FF">
        <w:rPr>
          <w:lang w:val="ru-RU"/>
        </w:rPr>
        <w:t>проведення</w:t>
      </w:r>
      <w:proofErr w:type="spellEnd"/>
      <w:r w:rsidRPr="00B017FF">
        <w:rPr>
          <w:lang w:val="ru-RU"/>
        </w:rPr>
        <w:t xml:space="preserve"> </w:t>
      </w:r>
      <w:proofErr w:type="spellStart"/>
      <w:r w:rsidRPr="00B017FF">
        <w:rPr>
          <w:lang w:val="ru-RU"/>
        </w:rPr>
        <w:t>правової</w:t>
      </w:r>
      <w:proofErr w:type="spellEnd"/>
      <w:r w:rsidRPr="00B017FF">
        <w:rPr>
          <w:lang w:val="ru-RU"/>
        </w:rPr>
        <w:t xml:space="preserve"> </w:t>
      </w:r>
      <w:proofErr w:type="spellStart"/>
      <w:r w:rsidRPr="00B017FF">
        <w:rPr>
          <w:lang w:val="ru-RU"/>
        </w:rPr>
        <w:t>експертизи</w:t>
      </w:r>
      <w:proofErr w:type="spellEnd"/>
      <w:r w:rsidRPr="00B017FF">
        <w:rPr>
          <w:lang w:val="ru-RU"/>
        </w:rPr>
        <w:t xml:space="preserve"> </w:t>
      </w:r>
      <w:proofErr w:type="spellStart"/>
      <w:r w:rsidRPr="00B017FF">
        <w:rPr>
          <w:lang w:val="ru-RU"/>
        </w:rPr>
        <w:t>пр</w:t>
      </w:r>
      <w:r>
        <w:rPr>
          <w:lang w:val="ru-RU"/>
        </w:rPr>
        <w:t>оектів</w:t>
      </w:r>
      <w:proofErr w:type="spellEnd"/>
      <w:r>
        <w:rPr>
          <w:lang w:val="ru-RU"/>
        </w:rPr>
        <w:t xml:space="preserve"> </w:t>
      </w:r>
      <w:proofErr w:type="spellStart"/>
      <w:r>
        <w:rPr>
          <w:lang w:val="ru-RU"/>
        </w:rPr>
        <w:t>нормативно-правових</w:t>
      </w:r>
      <w:proofErr w:type="spellEnd"/>
      <w:r>
        <w:rPr>
          <w:lang w:val="ru-RU"/>
        </w:rPr>
        <w:t xml:space="preserve"> </w:t>
      </w:r>
      <w:proofErr w:type="spellStart"/>
      <w:r>
        <w:rPr>
          <w:lang w:val="ru-RU"/>
        </w:rPr>
        <w:t>акті</w:t>
      </w:r>
      <w:proofErr w:type="gramStart"/>
      <w:r>
        <w:rPr>
          <w:lang w:val="ru-RU"/>
        </w:rPr>
        <w:t>в</w:t>
      </w:r>
      <w:proofErr w:type="spellEnd"/>
      <w:proofErr w:type="gramEnd"/>
      <w:r>
        <w:rPr>
          <w:lang w:val="ru-RU"/>
        </w:rPr>
        <w:t>.</w:t>
      </w:r>
    </w:p>
    <w:p w:rsidR="0085391E" w:rsidRPr="00C444F1" w:rsidRDefault="0085391E" w:rsidP="0085391E">
      <w:pPr>
        <w:pStyle w:val="a3"/>
        <w:ind w:firstLine="851"/>
        <w:jc w:val="both"/>
        <w:rPr>
          <w:rFonts w:cs="Times New Roman"/>
          <w:i/>
          <w:szCs w:val="28"/>
          <w:lang w:val="ru-RU"/>
        </w:rPr>
      </w:pPr>
      <w:r w:rsidRPr="00C444F1">
        <w:rPr>
          <w:rFonts w:cs="Times New Roman"/>
          <w:szCs w:val="28"/>
          <w:shd w:val="clear" w:color="auto" w:fill="FFFFFF"/>
        </w:rPr>
        <w:t xml:space="preserve">Венеційська комісія у своєму висновку щодо Румунії зазначила </w:t>
      </w:r>
      <w:r>
        <w:rPr>
          <w:rFonts w:cs="Times New Roman"/>
          <w:szCs w:val="28"/>
          <w:shd w:val="clear" w:color="auto" w:fill="FFFFFF"/>
        </w:rPr>
        <w:t>таке</w:t>
      </w:r>
      <w:r w:rsidRPr="00C444F1">
        <w:rPr>
          <w:rFonts w:cs="Times New Roman"/>
          <w:szCs w:val="28"/>
          <w:shd w:val="clear" w:color="auto" w:fill="FFFFFF"/>
        </w:rPr>
        <w:t>: </w:t>
      </w:r>
      <w:r w:rsidRPr="0085391E">
        <w:rPr>
          <w:rStyle w:val="a9"/>
          <w:rFonts w:cs="Times New Roman"/>
          <w:i w:val="0"/>
          <w:szCs w:val="28"/>
          <w:bdr w:val="none" w:sz="0" w:space="0" w:color="auto" w:frame="1"/>
          <w:shd w:val="clear" w:color="auto" w:fill="FFFFFF"/>
        </w:rPr>
        <w:t>«Венеційська комісія нагадує, що 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85391E">
        <w:rPr>
          <w:rStyle w:val="a7"/>
          <w:i/>
          <w:iCs/>
          <w:szCs w:val="28"/>
          <w:bdr w:val="none" w:sz="0" w:space="0" w:color="auto" w:frame="1"/>
          <w:shd w:val="clear" w:color="auto" w:fill="FFFFFF"/>
        </w:rPr>
        <w:footnoteReference w:id="6"/>
      </w:r>
      <w:r w:rsidRPr="0085391E">
        <w:rPr>
          <w:rStyle w:val="a9"/>
          <w:rFonts w:cs="Times New Roman"/>
          <w:i w:val="0"/>
          <w:szCs w:val="28"/>
          <w:bdr w:val="none" w:sz="0" w:space="0" w:color="auto" w:frame="1"/>
          <w:shd w:val="clear" w:color="auto" w:fill="FFFFFF"/>
        </w:rPr>
        <w:t>»</w:t>
      </w:r>
      <w:r w:rsidRPr="0085391E">
        <w:rPr>
          <w:rFonts w:cs="Times New Roman"/>
          <w:i/>
          <w:szCs w:val="28"/>
          <w:lang w:val="ru-RU"/>
        </w:rPr>
        <w:t>.</w:t>
      </w:r>
    </w:p>
    <w:p w:rsidR="0085391E" w:rsidRPr="00224444" w:rsidRDefault="0085391E" w:rsidP="0085391E">
      <w:pPr>
        <w:pStyle w:val="a3"/>
        <w:ind w:firstLine="851"/>
        <w:jc w:val="both"/>
        <w:rPr>
          <w:rFonts w:cs="Times New Roman"/>
          <w:i/>
          <w:szCs w:val="28"/>
          <w:lang w:val="ru-RU"/>
        </w:rPr>
      </w:pPr>
      <w:r w:rsidRPr="00DD1CFE">
        <w:rPr>
          <w:rFonts w:cs="Times New Roman"/>
          <w:szCs w:val="28"/>
        </w:rPr>
        <w:t xml:space="preserve">Відповідно  до  загальних  вимог  </w:t>
      </w:r>
      <w:proofErr w:type="spellStart"/>
      <w:r w:rsidRPr="00DD1CFE">
        <w:rPr>
          <w:rFonts w:cs="Times New Roman"/>
          <w:szCs w:val="28"/>
        </w:rPr>
        <w:t>нормопроектної</w:t>
      </w:r>
      <w:proofErr w:type="spellEnd"/>
      <w:r w:rsidRPr="00DD1CFE">
        <w:rPr>
          <w:rFonts w:cs="Times New Roman"/>
          <w:szCs w:val="28"/>
        </w:rPr>
        <w:t xml:space="preserve">  техніки   проекти</w:t>
      </w:r>
      <w:r w:rsidRPr="00DD1CFE">
        <w:rPr>
          <w:rFonts w:cs="Times New Roman"/>
          <w:szCs w:val="28"/>
          <w:lang w:val="ru-RU"/>
        </w:rPr>
        <w:t xml:space="preserve"> </w:t>
      </w:r>
      <w:r>
        <w:t xml:space="preserve">законів та нормативно-правових </w:t>
      </w:r>
      <w:r w:rsidRPr="00BC1E89">
        <w:t>акт</w:t>
      </w:r>
      <w:r>
        <w:t>ів повинні</w:t>
      </w:r>
      <w:r w:rsidRPr="00B41845">
        <w:rPr>
          <w:rStyle w:val="apple-converted-space"/>
          <w:rFonts w:ascii="Verdana" w:hAnsi="Verdana"/>
          <w:sz w:val="19"/>
          <w:szCs w:val="19"/>
          <w:shd w:val="clear" w:color="auto" w:fill="FFFFFF"/>
        </w:rPr>
        <w:t xml:space="preserve"> </w:t>
      </w:r>
      <w:r w:rsidRPr="00B41845">
        <w:rPr>
          <w:rFonts w:cs="Times New Roman"/>
          <w:szCs w:val="28"/>
          <w:shd w:val="clear" w:color="auto" w:fill="FFFFFF"/>
        </w:rPr>
        <w:t>раціонально, адекватно врегул</w:t>
      </w:r>
      <w:r>
        <w:rPr>
          <w:rFonts w:cs="Times New Roman"/>
          <w:szCs w:val="28"/>
          <w:shd w:val="clear" w:color="auto" w:fill="FFFFFF"/>
        </w:rPr>
        <w:t>ьову</w:t>
      </w:r>
      <w:r w:rsidRPr="00B41845">
        <w:rPr>
          <w:rFonts w:cs="Times New Roman"/>
          <w:szCs w:val="28"/>
          <w:shd w:val="clear" w:color="auto" w:fill="FFFFFF"/>
        </w:rPr>
        <w:t>вати суспільні відносини, правові норми, які вони містять, повинні бути стислими, чіткими і недвозначними.</w:t>
      </w:r>
    </w:p>
    <w:p w:rsidR="0085391E" w:rsidRDefault="0085391E" w:rsidP="0085391E">
      <w:pPr>
        <w:pStyle w:val="a3"/>
        <w:ind w:firstLine="708"/>
        <w:jc w:val="both"/>
        <w:rPr>
          <w:rFonts w:cs="Times New Roman"/>
          <w:szCs w:val="28"/>
          <w:shd w:val="clear" w:color="auto" w:fill="FFFFFF"/>
        </w:rPr>
      </w:pPr>
      <w:r>
        <w:rPr>
          <w:rFonts w:cs="Times New Roman"/>
          <w:szCs w:val="28"/>
          <w:shd w:val="clear" w:color="auto" w:fill="FFFFFF"/>
        </w:rPr>
        <w:t>Таким чином, з</w:t>
      </w:r>
      <w:r w:rsidRPr="00DD1CFE">
        <w:rPr>
          <w:rFonts w:cs="Times New Roman"/>
          <w:szCs w:val="28"/>
          <w:shd w:val="clear" w:color="auto" w:fill="FFFFFF"/>
        </w:rPr>
        <w:t xml:space="preserve">аконопроект не відповідає вимогам </w:t>
      </w:r>
      <w:proofErr w:type="spellStart"/>
      <w:r w:rsidRPr="00DD1CFE">
        <w:rPr>
          <w:rFonts w:cs="Times New Roman"/>
          <w:szCs w:val="28"/>
          <w:shd w:val="clear" w:color="auto" w:fill="FFFFFF"/>
        </w:rPr>
        <w:t>нормопроектної</w:t>
      </w:r>
      <w:proofErr w:type="spellEnd"/>
      <w:r>
        <w:rPr>
          <w:rFonts w:cs="Times New Roman"/>
          <w:szCs w:val="28"/>
          <w:shd w:val="clear" w:color="auto" w:fill="FFFFFF"/>
        </w:rPr>
        <w:t xml:space="preserve"> техніки, оскільки запропоновані зміни є суперечливими та створюють правові колізії.</w:t>
      </w:r>
    </w:p>
    <w:p w:rsidR="0085391E" w:rsidRPr="00835FC2" w:rsidRDefault="0085391E" w:rsidP="0085391E">
      <w:pPr>
        <w:pStyle w:val="a3"/>
        <w:ind w:firstLine="708"/>
        <w:jc w:val="both"/>
        <w:rPr>
          <w:rFonts w:cs="Times New Roman"/>
          <w:szCs w:val="28"/>
          <w:shd w:val="clear" w:color="auto" w:fill="FFFFFF"/>
        </w:rPr>
      </w:pPr>
      <w:r>
        <w:rPr>
          <w:rFonts w:cs="Times New Roman"/>
          <w:b/>
          <w:szCs w:val="28"/>
          <w:shd w:val="clear" w:color="auto" w:fill="FFFFFF"/>
        </w:rPr>
        <w:t>З огляду на викладене</w:t>
      </w:r>
      <w:r w:rsidRPr="00835FC2">
        <w:rPr>
          <w:rFonts w:cs="Times New Roman"/>
          <w:b/>
          <w:szCs w:val="28"/>
          <w:shd w:val="clear" w:color="auto" w:fill="FFFFFF"/>
        </w:rPr>
        <w:t xml:space="preserve"> </w:t>
      </w:r>
      <w:r w:rsidRPr="00835FC2">
        <w:rPr>
          <w:rFonts w:cs="Times New Roman"/>
          <w:b/>
          <w:szCs w:val="28"/>
        </w:rPr>
        <w:t>Вища</w:t>
      </w:r>
      <w:r w:rsidRPr="008C46CC">
        <w:rPr>
          <w:rFonts w:cs="Times New Roman"/>
          <w:b/>
          <w:szCs w:val="28"/>
        </w:rPr>
        <w:t xml:space="preserve"> рада правосуддя </w:t>
      </w:r>
      <w:r>
        <w:rPr>
          <w:rFonts w:cs="Times New Roman"/>
          <w:b/>
          <w:szCs w:val="28"/>
        </w:rPr>
        <w:t>не підтримує</w:t>
      </w:r>
      <w:r w:rsidRPr="008C46CC">
        <w:rPr>
          <w:rFonts w:cs="Times New Roman"/>
          <w:b/>
          <w:szCs w:val="28"/>
        </w:rPr>
        <w:t xml:space="preserve"> законо</w:t>
      </w:r>
      <w:r>
        <w:rPr>
          <w:rFonts w:cs="Times New Roman"/>
          <w:b/>
          <w:szCs w:val="28"/>
        </w:rPr>
        <w:t>проект</w:t>
      </w:r>
      <w:r w:rsidRPr="008C46CC">
        <w:rPr>
          <w:rFonts w:cs="Times New Roman"/>
          <w:b/>
          <w:szCs w:val="28"/>
        </w:rPr>
        <w:t xml:space="preserve"> № </w:t>
      </w:r>
      <w:r>
        <w:rPr>
          <w:rFonts w:cs="Times New Roman"/>
          <w:b/>
          <w:szCs w:val="28"/>
        </w:rPr>
        <w:t>2536</w:t>
      </w:r>
      <w:r w:rsidRPr="008C46CC">
        <w:rPr>
          <w:rFonts w:cs="Times New Roman"/>
          <w:b/>
          <w:szCs w:val="28"/>
        </w:rPr>
        <w:t>.</w:t>
      </w:r>
    </w:p>
    <w:p w:rsidR="0085391E" w:rsidRDefault="0085391E" w:rsidP="0085391E"/>
    <w:p w:rsidR="00367A65" w:rsidRDefault="00367A65"/>
    <w:sectPr w:rsidR="00367A65"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91E" w:rsidRDefault="0085391E" w:rsidP="0085391E">
      <w:pPr>
        <w:spacing w:after="0" w:line="240" w:lineRule="auto"/>
      </w:pPr>
      <w:r>
        <w:separator/>
      </w:r>
    </w:p>
  </w:endnote>
  <w:endnote w:type="continuationSeparator" w:id="0">
    <w:p w:rsidR="0085391E" w:rsidRDefault="0085391E" w:rsidP="008539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91E" w:rsidRDefault="0085391E" w:rsidP="0085391E">
      <w:pPr>
        <w:spacing w:after="0" w:line="240" w:lineRule="auto"/>
      </w:pPr>
      <w:r>
        <w:separator/>
      </w:r>
    </w:p>
  </w:footnote>
  <w:footnote w:type="continuationSeparator" w:id="0">
    <w:p w:rsidR="0085391E" w:rsidRDefault="0085391E" w:rsidP="0085391E">
      <w:pPr>
        <w:spacing w:after="0" w:line="240" w:lineRule="auto"/>
      </w:pPr>
      <w:r>
        <w:continuationSeparator/>
      </w:r>
    </w:p>
  </w:footnote>
  <w:footnote w:id="1">
    <w:p w:rsidR="0085391E" w:rsidRPr="005C55F0" w:rsidRDefault="0085391E" w:rsidP="0085391E">
      <w:pPr>
        <w:autoSpaceDE w:val="0"/>
        <w:autoSpaceDN w:val="0"/>
        <w:adjustRightInd w:val="0"/>
        <w:spacing w:after="0" w:line="240" w:lineRule="auto"/>
        <w:jc w:val="both"/>
        <w:rPr>
          <w:rFonts w:cs="Times New Roman"/>
          <w:sz w:val="20"/>
          <w:szCs w:val="20"/>
          <w:lang w:eastAsia="ru-RU"/>
        </w:rPr>
      </w:pPr>
      <w:r w:rsidRPr="005C55F0">
        <w:rPr>
          <w:rStyle w:val="a7"/>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85391E" w:rsidRPr="005C55F0" w:rsidRDefault="0085391E" w:rsidP="0085391E">
      <w:pPr>
        <w:pStyle w:val="a5"/>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85391E" w:rsidRDefault="0085391E" w:rsidP="0085391E">
      <w:pPr>
        <w:pStyle w:val="a5"/>
      </w:pPr>
      <w:r>
        <w:rPr>
          <w:rStyle w:val="a7"/>
        </w:rPr>
        <w:footnoteRef/>
      </w:r>
      <w:r>
        <w:t xml:space="preserve"> </w:t>
      </w:r>
      <w:r>
        <w:rPr>
          <w:rFonts w:cs="Times New Roman"/>
          <w:lang w:eastAsia="ru-RU"/>
        </w:rPr>
        <w:t>Висновок №  3(2002) Консультативної ради європейських судів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пункт 16.</w:t>
      </w:r>
    </w:p>
  </w:footnote>
  <w:footnote w:id="3">
    <w:p w:rsidR="0085391E" w:rsidRDefault="0085391E" w:rsidP="0085391E">
      <w:pPr>
        <w:pStyle w:val="a5"/>
      </w:pPr>
      <w:r>
        <w:rPr>
          <w:rStyle w:val="a7"/>
        </w:rPr>
        <w:footnoteRef/>
      </w:r>
      <w:r>
        <w:t xml:space="preserve"> </w:t>
      </w:r>
      <w:r>
        <w:rPr>
          <w:rFonts w:cs="Times New Roman"/>
          <w:lang w:eastAsia="ru-RU"/>
        </w:rPr>
        <w:t>Див. Висновок КРЄС № 18 (2015), пункт 6.</w:t>
      </w:r>
    </w:p>
  </w:footnote>
  <w:footnote w:id="4">
    <w:p w:rsidR="0085391E" w:rsidRDefault="0085391E" w:rsidP="0085391E">
      <w:pPr>
        <w:pStyle w:val="Default"/>
        <w:rPr>
          <w:rFonts w:cs="Times New Roman"/>
          <w:sz w:val="20"/>
          <w:szCs w:val="20"/>
        </w:rPr>
      </w:pPr>
      <w:r>
        <w:rPr>
          <w:rStyle w:val="a7"/>
        </w:rPr>
        <w:footnoteRef/>
      </w:r>
      <w:r>
        <w:rPr>
          <w:rFonts w:ascii="Times New Roman" w:hAnsi="Times New Roman" w:cs="Times New Roman"/>
          <w:sz w:val="20"/>
          <w:szCs w:val="20"/>
        </w:rPr>
        <w:t xml:space="preserve"> </w:t>
      </w:r>
      <w:r>
        <w:rPr>
          <w:rFonts w:ascii="Times New Roman" w:hAnsi="Times New Roman" w:cs="Times New Roman"/>
          <w:bCs/>
          <w:sz w:val="20"/>
          <w:szCs w:val="20"/>
        </w:rPr>
        <w:t>Оцінка судової реформи в Україні за період з 2014 до 2018 року та відповідність реформи стандартам і рекомендаціям Ради Європи, Консолідований документ, 2019, пункт 53.</w:t>
      </w:r>
    </w:p>
  </w:footnote>
  <w:footnote w:id="5">
    <w:p w:rsidR="0085391E" w:rsidRPr="00DD1CFE" w:rsidRDefault="0085391E" w:rsidP="0085391E">
      <w:pPr>
        <w:pStyle w:val="a5"/>
        <w:jc w:val="both"/>
        <w:rPr>
          <w:rFonts w:cs="Times New Roman"/>
        </w:rPr>
      </w:pPr>
      <w:r>
        <w:rPr>
          <w:rStyle w:val="a7"/>
        </w:rPr>
        <w:footnoteRef/>
      </w:r>
      <w:r>
        <w:t xml:space="preserve">Рішення Конституційного Суду України у справі за конституційним поданням 51 народного депутата України щодо </w:t>
      </w:r>
      <w:r w:rsidRPr="00DD1CFE">
        <w:rPr>
          <w:rFonts w:cs="Times New Roman"/>
        </w:rPr>
        <w:t>відповідності Конституції України (конституційності) положень</w:t>
      </w:r>
      <w:r>
        <w:rPr>
          <w:rFonts w:cs="Times New Roman"/>
        </w:rPr>
        <w:t xml:space="preserve"> статті 92, пункту 6 розділу Х «Перехідні положення»</w:t>
      </w:r>
      <w:r w:rsidRPr="00DD1CFE">
        <w:rPr>
          <w:rFonts w:cs="Times New Roman"/>
        </w:rPr>
        <w:t xml:space="preserve"> Земельного кодексу України (справа про постійне користування земельними ділянками), м. Київ, </w:t>
      </w:r>
    </w:p>
    <w:p w:rsidR="0085391E" w:rsidRPr="00DD1CFE" w:rsidRDefault="0085391E" w:rsidP="0085391E">
      <w:pPr>
        <w:pStyle w:val="a5"/>
        <w:rPr>
          <w:rFonts w:cs="Times New Roman"/>
        </w:rPr>
      </w:pPr>
      <w:r w:rsidRPr="00DD1CFE">
        <w:rPr>
          <w:rFonts w:cs="Times New Roman"/>
        </w:rPr>
        <w:t>22 вересня 2005 року № 5-рп/2005, справа № 1-17/2005. </w:t>
      </w:r>
    </w:p>
  </w:footnote>
  <w:footnote w:id="6">
    <w:p w:rsidR="0085391E" w:rsidRDefault="0085391E" w:rsidP="0085391E">
      <w:pPr>
        <w:pStyle w:val="a5"/>
      </w:pPr>
      <w:r>
        <w:rPr>
          <w:rStyle w:val="a7"/>
        </w:rPr>
        <w:footnoteRef/>
      </w:r>
      <w:r>
        <w:t xml:space="preserve"> </w:t>
      </w:r>
      <w:r w:rsidRPr="00DD1CFE">
        <w:rPr>
          <w:rFonts w:cs="Times New Roman"/>
          <w:color w:val="000000"/>
          <w:shd w:val="clear" w:color="auto" w:fill="FFFFFF"/>
        </w:rPr>
        <w:t>CDL-AD</w:t>
      </w:r>
      <w:r>
        <w:rPr>
          <w:rFonts w:cs="Times New Roman"/>
          <w:color w:val="000000"/>
          <w:shd w:val="clear" w:color="auto" w:fill="FFFFFF"/>
        </w:rPr>
        <w:t xml:space="preserve"> </w:t>
      </w:r>
      <w:r w:rsidRPr="00DD1CFE">
        <w:rPr>
          <w:rFonts w:cs="Times New Roman"/>
          <w:color w:val="000000"/>
          <w:shd w:val="clear" w:color="auto" w:fill="FFFFFF"/>
        </w:rPr>
        <w:t>(2019)</w:t>
      </w:r>
      <w:r>
        <w:rPr>
          <w:rFonts w:cs="Times New Roman"/>
          <w:color w:val="000000"/>
          <w:shd w:val="clear" w:color="auto" w:fill="FFFFFF"/>
        </w:rPr>
        <w:t xml:space="preserve"> </w:t>
      </w:r>
      <w:r w:rsidRPr="00DD1CFE">
        <w:rPr>
          <w:rFonts w:cs="Times New Roman"/>
          <w:color w:val="000000"/>
          <w:shd w:val="clear" w:color="auto" w:fill="FFFFFF"/>
        </w:rPr>
        <w:t>014, Румунія – Висновок щодо Надзвичайних розпоряджень уряду № 7 і № 12, доповн</w:t>
      </w:r>
      <w:r>
        <w:rPr>
          <w:rFonts w:cs="Times New Roman"/>
          <w:color w:val="000000"/>
          <w:shd w:val="clear" w:color="auto" w:fill="FFFFFF"/>
        </w:rPr>
        <w:t>ених Законами про правосуддя, пункт</w:t>
      </w:r>
      <w:r w:rsidRPr="00DD1CFE">
        <w:rPr>
          <w:rFonts w:cs="Times New Roman"/>
          <w:color w:val="000000"/>
          <w:shd w:val="clear" w:color="auto" w:fill="FFFFFF"/>
        </w:rPr>
        <w:t xml:space="preserve"> 14</w:t>
      </w:r>
      <w:r>
        <w:rPr>
          <w:rFonts w:cs="Times New Roman"/>
          <w:color w:val="000000"/>
          <w:shd w:val="clear" w:color="auto" w:fill="FFFFFF"/>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5391E"/>
    <w:rsid w:val="001A51C5"/>
    <w:rsid w:val="00367A65"/>
    <w:rsid w:val="00656990"/>
    <w:rsid w:val="00826384"/>
    <w:rsid w:val="008539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91E"/>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391E"/>
    <w:pPr>
      <w:spacing w:after="0" w:line="240" w:lineRule="auto"/>
    </w:pPr>
    <w:rPr>
      <w:rFonts w:eastAsia="Calibri" w:cs="Calibri"/>
    </w:rPr>
  </w:style>
  <w:style w:type="paragraph" w:styleId="a4">
    <w:name w:val="List Paragraph"/>
    <w:basedOn w:val="a"/>
    <w:qFormat/>
    <w:rsid w:val="0085391E"/>
    <w:pPr>
      <w:ind w:left="720"/>
      <w:contextualSpacing/>
    </w:pPr>
  </w:style>
  <w:style w:type="character" w:customStyle="1" w:styleId="CharStyle12">
    <w:name w:val="Char Style 12"/>
    <w:basedOn w:val="a0"/>
    <w:link w:val="Style2"/>
    <w:uiPriority w:val="99"/>
    <w:locked/>
    <w:rsid w:val="0085391E"/>
    <w:rPr>
      <w:rFonts w:cs="Times New Roman"/>
      <w:sz w:val="27"/>
      <w:szCs w:val="27"/>
      <w:shd w:val="clear" w:color="auto" w:fill="FFFFFF"/>
    </w:rPr>
  </w:style>
  <w:style w:type="paragraph" w:customStyle="1" w:styleId="Style2">
    <w:name w:val="Style 2"/>
    <w:basedOn w:val="a"/>
    <w:link w:val="CharStyle12"/>
    <w:uiPriority w:val="99"/>
    <w:rsid w:val="0085391E"/>
    <w:pPr>
      <w:widowControl w:val="0"/>
      <w:shd w:val="clear" w:color="auto" w:fill="FFFFFF"/>
      <w:spacing w:before="180" w:after="60" w:line="319" w:lineRule="exact"/>
      <w:jc w:val="both"/>
    </w:pPr>
    <w:rPr>
      <w:rFonts w:eastAsiaTheme="minorHAnsi" w:cs="Times New Roman"/>
      <w:sz w:val="27"/>
      <w:szCs w:val="27"/>
    </w:rPr>
  </w:style>
  <w:style w:type="paragraph" w:styleId="a5">
    <w:name w:val="footnote text"/>
    <w:basedOn w:val="a"/>
    <w:link w:val="a6"/>
    <w:uiPriority w:val="99"/>
    <w:rsid w:val="0085391E"/>
    <w:pPr>
      <w:spacing w:after="0" w:line="240" w:lineRule="auto"/>
    </w:pPr>
    <w:rPr>
      <w:sz w:val="20"/>
      <w:szCs w:val="20"/>
    </w:rPr>
  </w:style>
  <w:style w:type="character" w:customStyle="1" w:styleId="a6">
    <w:name w:val="Текст виноски Знак"/>
    <w:basedOn w:val="a0"/>
    <w:link w:val="a5"/>
    <w:uiPriority w:val="99"/>
    <w:rsid w:val="0085391E"/>
    <w:rPr>
      <w:rFonts w:eastAsia="Calibri" w:cs="Calibri"/>
      <w:sz w:val="20"/>
      <w:szCs w:val="20"/>
    </w:rPr>
  </w:style>
  <w:style w:type="character" w:styleId="a7">
    <w:name w:val="footnote reference"/>
    <w:basedOn w:val="a0"/>
    <w:uiPriority w:val="99"/>
    <w:rsid w:val="0085391E"/>
    <w:rPr>
      <w:rFonts w:cs="Times New Roman"/>
      <w:vertAlign w:val="superscript"/>
    </w:rPr>
  </w:style>
  <w:style w:type="paragraph" w:customStyle="1" w:styleId="Default">
    <w:name w:val="Default"/>
    <w:uiPriority w:val="99"/>
    <w:rsid w:val="0085391E"/>
    <w:pPr>
      <w:autoSpaceDE w:val="0"/>
      <w:autoSpaceDN w:val="0"/>
      <w:adjustRightInd w:val="0"/>
      <w:spacing w:after="0" w:line="240" w:lineRule="auto"/>
    </w:pPr>
    <w:rPr>
      <w:rFonts w:ascii="Calibri" w:eastAsia="Calibri" w:hAnsi="Calibri" w:cs="Calibri"/>
      <w:color w:val="000000"/>
      <w:sz w:val="24"/>
      <w:szCs w:val="24"/>
      <w:lang w:eastAsia="ru-RU"/>
    </w:rPr>
  </w:style>
  <w:style w:type="character" w:styleId="a8">
    <w:name w:val="Strong"/>
    <w:basedOn w:val="a0"/>
    <w:uiPriority w:val="22"/>
    <w:qFormat/>
    <w:rsid w:val="0085391E"/>
    <w:rPr>
      <w:b/>
      <w:bCs/>
    </w:rPr>
  </w:style>
  <w:style w:type="character" w:customStyle="1" w:styleId="rvts9">
    <w:name w:val="rvts9"/>
    <w:rsid w:val="0085391E"/>
  </w:style>
  <w:style w:type="character" w:customStyle="1" w:styleId="apple-converted-space">
    <w:name w:val="apple-converted-space"/>
    <w:basedOn w:val="a0"/>
    <w:rsid w:val="0085391E"/>
  </w:style>
  <w:style w:type="character" w:styleId="a9">
    <w:name w:val="Emphasis"/>
    <w:basedOn w:val="a0"/>
    <w:uiPriority w:val="20"/>
    <w:qFormat/>
    <w:rsid w:val="0085391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8847</Words>
  <Characters>5044</Characters>
  <Application>Microsoft Office Word</Application>
  <DocSecurity>0</DocSecurity>
  <Lines>42</Lines>
  <Paragraphs>27</Paragraphs>
  <ScaleCrop>false</ScaleCrop>
  <Company>Microsoft</Company>
  <LinksUpToDate>false</LinksUpToDate>
  <CharactersWithSpaces>13864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5</cp:revision>
  <dcterms:created xsi:type="dcterms:W3CDTF">2020-01-15T14:23:00Z</dcterms:created>
  <dcterms:modified xsi:type="dcterms:W3CDTF">2020-01-15T14:34:00Z</dcterms:modified>
</cp:coreProperties>
</file>