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FED" w:rsidRDefault="00565FED" w:rsidP="00565FED">
      <w:pPr>
        <w:tabs>
          <w:tab w:val="left" w:pos="3119"/>
          <w:tab w:val="left" w:pos="3261"/>
        </w:tabs>
        <w:ind w:right="6378"/>
        <w:jc w:val="both"/>
        <w:rPr>
          <w:b/>
        </w:rPr>
      </w:pPr>
    </w:p>
    <w:p w:rsidR="00565FED" w:rsidRDefault="00565FED" w:rsidP="00565FED">
      <w:pPr>
        <w:contextualSpacing/>
        <w:jc w:val="both"/>
        <w:rPr>
          <w:rFonts w:ascii="Calibri" w:hAnsi="Calibri"/>
          <w:color w:val="000000"/>
          <w:lang w:eastAsia="uk-UA"/>
        </w:rPr>
      </w:pPr>
    </w:p>
    <w:p w:rsidR="00565FED" w:rsidRDefault="00565FED" w:rsidP="00565FED">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565FED" w:rsidRDefault="00565FED" w:rsidP="00565FED">
      <w:pPr>
        <w:spacing w:after="60"/>
        <w:jc w:val="center"/>
        <w:rPr>
          <w:rFonts w:ascii="AcademyC" w:hAnsi="AcademyC"/>
          <w:b/>
          <w:color w:val="002060"/>
        </w:rPr>
      </w:pPr>
      <w:r>
        <w:rPr>
          <w:rFonts w:ascii="AcademyC" w:hAnsi="AcademyC"/>
          <w:b/>
          <w:color w:val="002060"/>
        </w:rPr>
        <w:t>ВИЩА  РАДА  ПРАВОСУДДЯ</w:t>
      </w:r>
    </w:p>
    <w:p w:rsidR="00565FED" w:rsidRDefault="00565FED" w:rsidP="00565FED">
      <w:pPr>
        <w:spacing w:after="240"/>
        <w:jc w:val="center"/>
        <w:rPr>
          <w:rFonts w:ascii="AcademyC" w:hAnsi="AcademyC"/>
          <w:b/>
          <w:color w:val="002060"/>
        </w:rPr>
      </w:pPr>
      <w:r>
        <w:rPr>
          <w:rFonts w:ascii="AcademyC" w:hAnsi="AcademyC"/>
          <w:b/>
          <w:color w:val="002060"/>
        </w:rPr>
        <w:t>РІШЕННЯ</w:t>
      </w:r>
    </w:p>
    <w:tbl>
      <w:tblPr>
        <w:tblW w:w="12672" w:type="dxa"/>
        <w:tblLook w:val="04A0"/>
      </w:tblPr>
      <w:tblGrid>
        <w:gridCol w:w="3369"/>
        <w:gridCol w:w="2550"/>
        <w:gridCol w:w="993"/>
        <w:gridCol w:w="5760"/>
      </w:tblGrid>
      <w:tr w:rsidR="00565FED" w:rsidTr="00DE3321">
        <w:trPr>
          <w:trHeight w:val="188"/>
        </w:trPr>
        <w:tc>
          <w:tcPr>
            <w:tcW w:w="3369" w:type="dxa"/>
            <w:hideMark/>
          </w:tcPr>
          <w:p w:rsidR="00565FED" w:rsidRPr="00145AA1" w:rsidRDefault="00565FED" w:rsidP="00DE3321">
            <w:pPr>
              <w:ind w:right="-2"/>
              <w:rPr>
                <w:b/>
                <w:noProof/>
                <w:color w:val="000000"/>
                <w:sz w:val="27"/>
                <w:szCs w:val="27"/>
              </w:rPr>
            </w:pPr>
            <w:r>
              <w:rPr>
                <w:b/>
                <w:noProof/>
                <w:color w:val="000000"/>
                <w:sz w:val="27"/>
                <w:szCs w:val="27"/>
              </w:rPr>
              <w:t>14 січня 2020</w:t>
            </w:r>
            <w:r w:rsidRPr="00145AA1">
              <w:rPr>
                <w:b/>
                <w:noProof/>
                <w:color w:val="000000"/>
                <w:sz w:val="27"/>
                <w:szCs w:val="27"/>
              </w:rPr>
              <w:t xml:space="preserve"> року </w:t>
            </w:r>
          </w:p>
        </w:tc>
        <w:tc>
          <w:tcPr>
            <w:tcW w:w="3543" w:type="dxa"/>
            <w:gridSpan w:val="2"/>
            <w:hideMark/>
          </w:tcPr>
          <w:p w:rsidR="00565FED" w:rsidRPr="00145AA1" w:rsidRDefault="00565FED" w:rsidP="00DE3321">
            <w:pPr>
              <w:ind w:right="-2" w:hanging="109"/>
              <w:jc w:val="center"/>
              <w:rPr>
                <w:b/>
                <w:noProof/>
                <w:color w:val="000000"/>
                <w:sz w:val="27"/>
                <w:szCs w:val="27"/>
              </w:rPr>
            </w:pPr>
            <w:r w:rsidRPr="00145AA1">
              <w:rPr>
                <w:b/>
                <w:color w:val="000000"/>
                <w:sz w:val="27"/>
                <w:szCs w:val="27"/>
              </w:rPr>
              <w:t>Київ</w:t>
            </w:r>
          </w:p>
        </w:tc>
        <w:tc>
          <w:tcPr>
            <w:tcW w:w="5760" w:type="dxa"/>
            <w:hideMark/>
          </w:tcPr>
          <w:p w:rsidR="00565FED" w:rsidRPr="00145AA1" w:rsidRDefault="00565FED" w:rsidP="00565FED">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sidRPr="00145AA1">
              <w:rPr>
                <w:b/>
                <w:color w:val="000000"/>
                <w:sz w:val="27"/>
                <w:szCs w:val="27"/>
              </w:rPr>
              <w:t xml:space="preserve"> №</w:t>
            </w:r>
            <w:r>
              <w:rPr>
                <w:b/>
                <w:color w:val="000000"/>
                <w:sz w:val="27"/>
                <w:szCs w:val="27"/>
              </w:rPr>
              <w:t xml:space="preserve"> </w:t>
            </w:r>
            <w:r>
              <w:rPr>
                <w:b/>
                <w:szCs w:val="28"/>
              </w:rPr>
              <w:t>54</w:t>
            </w:r>
            <w:r w:rsidRPr="005A48FA">
              <w:rPr>
                <w:b/>
                <w:szCs w:val="28"/>
              </w:rPr>
              <w:t>/0/15-</w:t>
            </w:r>
            <w:r>
              <w:rPr>
                <w:b/>
                <w:szCs w:val="28"/>
              </w:rPr>
              <w:t>20</w:t>
            </w:r>
            <w:r>
              <w:rPr>
                <w:szCs w:val="28"/>
              </w:rPr>
              <w:t xml:space="preserve"> </w:t>
            </w:r>
            <w:r w:rsidRPr="00C85FE9">
              <w:rPr>
                <w:szCs w:val="28"/>
              </w:rPr>
              <w:t xml:space="preserve"> </w:t>
            </w:r>
          </w:p>
        </w:tc>
      </w:tr>
      <w:tr w:rsidR="00565FED" w:rsidTr="00DE3321">
        <w:trPr>
          <w:gridAfter w:val="2"/>
          <w:wAfter w:w="6753" w:type="dxa"/>
        </w:trPr>
        <w:tc>
          <w:tcPr>
            <w:tcW w:w="5919" w:type="dxa"/>
            <w:gridSpan w:val="2"/>
            <w:hideMark/>
          </w:tcPr>
          <w:p w:rsidR="00565FED" w:rsidRDefault="00565FED" w:rsidP="00DE3321">
            <w:pPr>
              <w:spacing w:line="240" w:lineRule="auto"/>
              <w:ind w:firstLine="851"/>
              <w:rPr>
                <w:b/>
                <w:sz w:val="24"/>
                <w:szCs w:val="24"/>
              </w:rPr>
            </w:pPr>
            <w:bookmarkStart w:id="0" w:name="OLE_LINK46"/>
            <w:bookmarkStart w:id="1" w:name="OLE_LINK47"/>
            <w:bookmarkEnd w:id="0"/>
            <w:bookmarkEnd w:id="1"/>
          </w:p>
        </w:tc>
      </w:tr>
    </w:tbl>
    <w:tbl>
      <w:tblPr>
        <w:tblpPr w:leftFromText="180" w:rightFromText="180" w:vertAnchor="text" w:horzAnchor="margin" w:tblpY="131"/>
        <w:tblW w:w="9747" w:type="dxa"/>
        <w:tblCellMar>
          <w:left w:w="10" w:type="dxa"/>
          <w:right w:w="10" w:type="dxa"/>
        </w:tblCellMar>
        <w:tblLook w:val="04A0"/>
      </w:tblPr>
      <w:tblGrid>
        <w:gridCol w:w="4786"/>
        <w:gridCol w:w="4961"/>
      </w:tblGrid>
      <w:tr w:rsidR="00565FED" w:rsidRPr="00CC6E39" w:rsidTr="00DE3321">
        <w:tc>
          <w:tcPr>
            <w:tcW w:w="4786" w:type="dxa"/>
            <w:shd w:val="clear" w:color="auto" w:fill="auto"/>
            <w:tcMar>
              <w:top w:w="0" w:type="dxa"/>
              <w:left w:w="108" w:type="dxa"/>
              <w:bottom w:w="0" w:type="dxa"/>
              <w:right w:w="108" w:type="dxa"/>
            </w:tcMar>
          </w:tcPr>
          <w:p w:rsidR="00565FED" w:rsidRPr="00DB153E" w:rsidRDefault="002050B1" w:rsidP="00DE3321">
            <w:pPr>
              <w:spacing w:line="240" w:lineRule="auto"/>
              <w:jc w:val="both"/>
              <w:rPr>
                <w:b/>
                <w:sz w:val="24"/>
                <w:szCs w:val="24"/>
              </w:rPr>
            </w:pPr>
            <w:r w:rsidRPr="00AB3B07">
              <w:rPr>
                <w:rFonts w:eastAsia="Lucida Sans Unicode" w:cs="Times New Roman"/>
                <w:b/>
                <w:kern w:val="2"/>
                <w:sz w:val="24"/>
                <w:szCs w:val="24"/>
                <w:lang w:val="ru-RU" w:eastAsia="hi-IN" w:bidi="hi-IN"/>
              </w:rPr>
              <w:t xml:space="preserve">Про </w:t>
            </w:r>
            <w:proofErr w:type="spellStart"/>
            <w:r w:rsidRPr="00AB3B07">
              <w:rPr>
                <w:rFonts w:eastAsia="Lucida Sans Unicode" w:cs="Times New Roman"/>
                <w:b/>
                <w:kern w:val="2"/>
                <w:sz w:val="24"/>
                <w:szCs w:val="24"/>
                <w:lang w:val="ru-RU" w:eastAsia="hi-IN" w:bidi="hi-IN"/>
              </w:rPr>
              <w:t>надання</w:t>
            </w:r>
            <w:proofErr w:type="spellEnd"/>
            <w:r w:rsidRPr="00AB3B07">
              <w:rPr>
                <w:rFonts w:eastAsia="Lucida Sans Unicode" w:cs="Times New Roman"/>
                <w:b/>
                <w:kern w:val="2"/>
                <w:sz w:val="24"/>
                <w:szCs w:val="24"/>
                <w:lang w:val="ru-RU" w:eastAsia="hi-IN" w:bidi="hi-IN"/>
              </w:rPr>
              <w:t xml:space="preserve"> </w:t>
            </w:r>
            <w:proofErr w:type="gramStart"/>
            <w:r w:rsidRPr="00AB3B07">
              <w:rPr>
                <w:rFonts w:eastAsia="Lucida Sans Unicode" w:cs="Times New Roman"/>
                <w:b/>
                <w:kern w:val="2"/>
                <w:sz w:val="24"/>
                <w:szCs w:val="24"/>
                <w:lang w:val="ru-RU" w:eastAsia="hi-IN" w:bidi="hi-IN"/>
              </w:rPr>
              <w:t>консультативного</w:t>
            </w:r>
            <w:proofErr w:type="gramEnd"/>
            <w:r w:rsidRPr="00AB3B07">
              <w:rPr>
                <w:rFonts w:eastAsia="Lucida Sans Unicode" w:cs="Times New Roman"/>
                <w:b/>
                <w:kern w:val="2"/>
                <w:sz w:val="24"/>
                <w:szCs w:val="24"/>
                <w:lang w:val="ru-RU" w:eastAsia="hi-IN" w:bidi="hi-IN"/>
              </w:rPr>
              <w:t xml:space="preserve"> </w:t>
            </w:r>
            <w:proofErr w:type="spellStart"/>
            <w:r w:rsidRPr="00AB3B07">
              <w:rPr>
                <w:rFonts w:eastAsia="Lucida Sans Unicode" w:cs="Times New Roman"/>
                <w:b/>
                <w:kern w:val="2"/>
                <w:sz w:val="24"/>
                <w:szCs w:val="24"/>
                <w:lang w:val="ru-RU" w:eastAsia="hi-IN" w:bidi="hi-IN"/>
              </w:rPr>
              <w:t>висновку</w:t>
            </w:r>
            <w:proofErr w:type="spellEnd"/>
            <w:r w:rsidRPr="00AB3B07">
              <w:rPr>
                <w:rFonts w:eastAsia="Lucida Sans Unicode" w:cs="Times New Roman"/>
                <w:b/>
                <w:kern w:val="2"/>
                <w:sz w:val="24"/>
                <w:szCs w:val="24"/>
                <w:lang w:val="ru-RU" w:eastAsia="hi-IN" w:bidi="hi-IN"/>
              </w:rPr>
              <w:t xml:space="preserve"> до законопроекту №</w:t>
            </w:r>
            <w:r w:rsidRPr="00AB3B07">
              <w:rPr>
                <w:rFonts w:eastAsia="Lucida Sans Unicode" w:cs="Times New Roman"/>
                <w:b/>
                <w:kern w:val="2"/>
                <w:sz w:val="24"/>
                <w:szCs w:val="24"/>
                <w:lang w:eastAsia="hi-IN" w:bidi="hi-IN"/>
              </w:rPr>
              <w:t xml:space="preserve"> </w:t>
            </w:r>
            <w:r w:rsidRPr="00AB3B07">
              <w:rPr>
                <w:rFonts w:eastAsia="Lucida Sans Unicode" w:cs="Times New Roman"/>
                <w:b/>
                <w:kern w:val="2"/>
                <w:sz w:val="24"/>
                <w:szCs w:val="24"/>
                <w:lang w:val="ru-RU" w:eastAsia="hi-IN" w:bidi="hi-IN"/>
              </w:rPr>
              <w:t>2</w:t>
            </w:r>
            <w:r>
              <w:rPr>
                <w:rFonts w:eastAsia="Lucida Sans Unicode" w:cs="Times New Roman"/>
                <w:b/>
                <w:kern w:val="2"/>
                <w:sz w:val="24"/>
                <w:szCs w:val="24"/>
                <w:lang w:val="ru-RU" w:eastAsia="hi-IN" w:bidi="hi-IN"/>
              </w:rPr>
              <w:t>626</w:t>
            </w:r>
          </w:p>
        </w:tc>
        <w:tc>
          <w:tcPr>
            <w:tcW w:w="4961" w:type="dxa"/>
            <w:shd w:val="clear" w:color="auto" w:fill="auto"/>
            <w:tcMar>
              <w:top w:w="0" w:type="dxa"/>
              <w:left w:w="108" w:type="dxa"/>
              <w:bottom w:w="0" w:type="dxa"/>
              <w:right w:w="108" w:type="dxa"/>
            </w:tcMar>
          </w:tcPr>
          <w:p w:rsidR="00565FED" w:rsidRDefault="00565FED" w:rsidP="00DE3321">
            <w:pPr>
              <w:pStyle w:val="a3"/>
              <w:rPr>
                <w:b/>
                <w:i/>
                <w:sz w:val="24"/>
                <w:szCs w:val="24"/>
              </w:rPr>
            </w:pPr>
          </w:p>
        </w:tc>
      </w:tr>
    </w:tbl>
    <w:tbl>
      <w:tblPr>
        <w:tblW w:w="0" w:type="auto"/>
        <w:tblLayout w:type="fixed"/>
        <w:tblLook w:val="04A0"/>
      </w:tblPr>
      <w:tblGrid>
        <w:gridCol w:w="4644"/>
        <w:gridCol w:w="4077"/>
      </w:tblGrid>
      <w:tr w:rsidR="00565FED" w:rsidRPr="00AB3B07" w:rsidTr="00DE3321">
        <w:tc>
          <w:tcPr>
            <w:tcW w:w="4644" w:type="dxa"/>
            <w:hideMark/>
          </w:tcPr>
          <w:p w:rsidR="00565FED" w:rsidRPr="00AB3B07" w:rsidRDefault="00565FED" w:rsidP="00565FED">
            <w:pPr>
              <w:widowControl w:val="0"/>
              <w:suppressAutoHyphens/>
              <w:spacing w:after="0" w:line="240" w:lineRule="auto"/>
              <w:ind w:right="-290"/>
              <w:rPr>
                <w:rFonts w:eastAsia="Lucida Sans Unicode" w:cs="Times New Roman"/>
                <w:b/>
                <w:kern w:val="2"/>
                <w:sz w:val="24"/>
                <w:szCs w:val="24"/>
                <w:lang w:val="ru-RU" w:eastAsia="hi-IN" w:bidi="hi-IN"/>
              </w:rPr>
            </w:pPr>
          </w:p>
        </w:tc>
        <w:tc>
          <w:tcPr>
            <w:tcW w:w="4077" w:type="dxa"/>
          </w:tcPr>
          <w:p w:rsidR="00565FED" w:rsidRPr="00AB3B07" w:rsidRDefault="00565FED" w:rsidP="00DE3321">
            <w:pPr>
              <w:widowControl w:val="0"/>
              <w:suppressAutoHyphens/>
              <w:spacing w:after="0" w:line="240" w:lineRule="auto"/>
              <w:rPr>
                <w:rFonts w:eastAsia="Lucida Sans Unicode" w:cs="Times New Roman"/>
                <w:kern w:val="2"/>
                <w:sz w:val="24"/>
                <w:szCs w:val="24"/>
                <w:lang w:val="ru-RU" w:eastAsia="hi-IN" w:bidi="hi-IN"/>
              </w:rPr>
            </w:pPr>
          </w:p>
        </w:tc>
      </w:tr>
    </w:tbl>
    <w:p w:rsidR="00565FED" w:rsidRPr="00AB3B07" w:rsidRDefault="00565FED" w:rsidP="00565FED">
      <w:pPr>
        <w:widowControl w:val="0"/>
        <w:suppressAutoHyphens/>
        <w:spacing w:after="0" w:line="240" w:lineRule="auto"/>
        <w:rPr>
          <w:rFonts w:eastAsia="Lucida Sans Unicode" w:cs="Times New Roman"/>
          <w:kern w:val="2"/>
          <w:szCs w:val="28"/>
          <w:lang w:val="ru-RU" w:eastAsia="hi-IN" w:bidi="hi-IN"/>
        </w:rPr>
      </w:pPr>
    </w:p>
    <w:p w:rsidR="00565FED" w:rsidRPr="00887784" w:rsidRDefault="00565FED" w:rsidP="00565FED">
      <w:pPr>
        <w:spacing w:after="0" w:line="240" w:lineRule="auto"/>
        <w:ind w:firstLine="720"/>
        <w:jc w:val="both"/>
        <w:rPr>
          <w:rFonts w:cs="Times New Roman"/>
          <w:szCs w:val="28"/>
        </w:rPr>
      </w:pPr>
      <w:r w:rsidRPr="00887784">
        <w:rPr>
          <w:rFonts w:cs="Times New Roman"/>
          <w:szCs w:val="28"/>
        </w:rPr>
        <w:t>Вища рада правосуддя розглянула проект Закону України «Про внесення зміни до статті 142 Закону України «Про судоустрій і статус суддів» щодо пенсійного забезпечення та щомісячного довічного грошового утримання судді у відставці» від 19 грудня 2019 р</w:t>
      </w:r>
      <w:r>
        <w:rPr>
          <w:rFonts w:cs="Times New Roman"/>
          <w:szCs w:val="28"/>
        </w:rPr>
        <w:t>оку,</w:t>
      </w:r>
      <w:r w:rsidRPr="00887784">
        <w:rPr>
          <w:rFonts w:cs="Times New Roman"/>
          <w:szCs w:val="28"/>
        </w:rPr>
        <w:t xml:space="preserve"> реєстраційний № 2626</w:t>
      </w:r>
      <w:r>
        <w:rPr>
          <w:rFonts w:cs="Times New Roman"/>
          <w:szCs w:val="28"/>
        </w:rPr>
        <w:t xml:space="preserve">, </w:t>
      </w:r>
      <w:r w:rsidRPr="00887784">
        <w:rPr>
          <w:rFonts w:cs="Times New Roman"/>
          <w:szCs w:val="28"/>
        </w:rPr>
        <w:t>внесен</w:t>
      </w:r>
      <w:r>
        <w:rPr>
          <w:rFonts w:cs="Times New Roman"/>
          <w:szCs w:val="28"/>
        </w:rPr>
        <w:t>ий</w:t>
      </w:r>
      <w:r w:rsidRPr="00887784">
        <w:rPr>
          <w:rFonts w:cs="Times New Roman"/>
          <w:szCs w:val="28"/>
        </w:rPr>
        <w:t xml:space="preserve"> </w:t>
      </w:r>
      <w:r w:rsidRPr="00C55E79">
        <w:rPr>
          <w:rFonts w:cs="Times New Roman"/>
          <w:szCs w:val="28"/>
        </w:rPr>
        <w:t>на розгляд Верховної Ради України у порядку законодавчої ініціативи</w:t>
      </w:r>
      <w:r w:rsidRPr="00887784">
        <w:rPr>
          <w:rFonts w:cs="Times New Roman"/>
          <w:szCs w:val="28"/>
        </w:rPr>
        <w:t xml:space="preserve"> народними депутатами України </w:t>
      </w:r>
      <w:proofErr w:type="spellStart"/>
      <w:r w:rsidRPr="00887784">
        <w:rPr>
          <w:rFonts w:cs="Times New Roman"/>
          <w:szCs w:val="28"/>
        </w:rPr>
        <w:t>Павлішем</w:t>
      </w:r>
      <w:proofErr w:type="spellEnd"/>
      <w:r w:rsidRPr="00887784">
        <w:rPr>
          <w:rFonts w:cs="Times New Roman"/>
          <w:szCs w:val="28"/>
        </w:rPr>
        <w:t xml:space="preserve"> П.В., Новіковим М.М., Бабієм Р.В., </w:t>
      </w:r>
      <w:r>
        <w:rPr>
          <w:rFonts w:cs="Times New Roman"/>
          <w:szCs w:val="28"/>
        </w:rPr>
        <w:t xml:space="preserve">           </w:t>
      </w:r>
      <w:proofErr w:type="spellStart"/>
      <w:r w:rsidRPr="00887784">
        <w:rPr>
          <w:rFonts w:cs="Times New Roman"/>
          <w:szCs w:val="28"/>
        </w:rPr>
        <w:t>Дирдіним</w:t>
      </w:r>
      <w:proofErr w:type="spellEnd"/>
      <w:r w:rsidRPr="00887784">
        <w:rPr>
          <w:rFonts w:cs="Times New Roman"/>
          <w:szCs w:val="28"/>
        </w:rPr>
        <w:t xml:space="preserve"> М.Є., </w:t>
      </w:r>
      <w:proofErr w:type="spellStart"/>
      <w:r w:rsidRPr="00887784">
        <w:rPr>
          <w:rFonts w:cs="Times New Roman"/>
          <w:szCs w:val="28"/>
        </w:rPr>
        <w:t>Задорожнім</w:t>
      </w:r>
      <w:proofErr w:type="spellEnd"/>
      <w:r w:rsidRPr="00887784">
        <w:rPr>
          <w:rFonts w:cs="Times New Roman"/>
          <w:szCs w:val="28"/>
        </w:rPr>
        <w:t xml:space="preserve"> А.В., </w:t>
      </w:r>
      <w:proofErr w:type="spellStart"/>
      <w:r w:rsidRPr="00887784">
        <w:rPr>
          <w:rFonts w:cs="Times New Roman"/>
          <w:szCs w:val="28"/>
        </w:rPr>
        <w:t>Костіним</w:t>
      </w:r>
      <w:proofErr w:type="spellEnd"/>
      <w:r w:rsidRPr="00887784">
        <w:rPr>
          <w:rFonts w:cs="Times New Roman"/>
          <w:szCs w:val="28"/>
        </w:rPr>
        <w:t xml:space="preserve"> А.Є., </w:t>
      </w:r>
      <w:proofErr w:type="spellStart"/>
      <w:r w:rsidRPr="00887784">
        <w:rPr>
          <w:rFonts w:cs="Times New Roman"/>
          <w:szCs w:val="28"/>
        </w:rPr>
        <w:t>Мережком</w:t>
      </w:r>
      <w:proofErr w:type="spellEnd"/>
      <w:r w:rsidRPr="00887784">
        <w:rPr>
          <w:rFonts w:cs="Times New Roman"/>
          <w:szCs w:val="28"/>
        </w:rPr>
        <w:t xml:space="preserve"> О.О.</w:t>
      </w:r>
    </w:p>
    <w:p w:rsidR="00565FED" w:rsidRPr="004C499F" w:rsidRDefault="00565FED" w:rsidP="00565FED">
      <w:pPr>
        <w:spacing w:after="0" w:line="240" w:lineRule="auto"/>
        <w:ind w:firstLine="567"/>
        <w:contextualSpacing/>
        <w:jc w:val="both"/>
        <w:rPr>
          <w:rFonts w:cs="Times New Roman"/>
          <w:szCs w:val="28"/>
        </w:rPr>
      </w:pPr>
      <w:r w:rsidRPr="00887784">
        <w:rPr>
          <w:rFonts w:cs="Times New Roman"/>
          <w:szCs w:val="28"/>
        </w:rPr>
        <w:tab/>
      </w:r>
      <w:r w:rsidRPr="004C499F">
        <w:rPr>
          <w:rFonts w:cs="Times New Roman"/>
          <w:szCs w:val="28"/>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із питань утворення, реорганізації чи ліквідації судів, судоустрою і статусу суддів.</w:t>
      </w:r>
    </w:p>
    <w:p w:rsidR="00565FED" w:rsidRPr="004C499F" w:rsidRDefault="00565FED" w:rsidP="00565FED">
      <w:pPr>
        <w:spacing w:after="0" w:line="240" w:lineRule="auto"/>
        <w:ind w:firstLine="709"/>
        <w:contextualSpacing/>
        <w:jc w:val="both"/>
        <w:rPr>
          <w:rFonts w:cs="Times New Roman"/>
          <w:szCs w:val="28"/>
        </w:rPr>
      </w:pPr>
      <w:r w:rsidRPr="004C499F">
        <w:rPr>
          <w:rFonts w:cs="Times New Roman"/>
          <w:szCs w:val="28"/>
        </w:rPr>
        <w:t xml:space="preserve">Керуючись статтею 131 Конституції України, статтями 3, 34 Закону України «Про Вищу раду правосуддя», Вища рада правосуддя </w:t>
      </w:r>
    </w:p>
    <w:p w:rsidR="00565FED" w:rsidRPr="00887784" w:rsidRDefault="00565FED" w:rsidP="00565FED">
      <w:pPr>
        <w:spacing w:after="0" w:line="240" w:lineRule="auto"/>
        <w:ind w:firstLine="851"/>
        <w:jc w:val="both"/>
        <w:rPr>
          <w:rFonts w:cs="Times New Roman"/>
          <w:szCs w:val="28"/>
        </w:rPr>
      </w:pPr>
    </w:p>
    <w:p w:rsidR="00565FED" w:rsidRPr="00887784" w:rsidRDefault="00565FED" w:rsidP="00565FED">
      <w:pPr>
        <w:spacing w:after="0" w:line="240" w:lineRule="auto"/>
        <w:jc w:val="center"/>
        <w:rPr>
          <w:rFonts w:cs="Times New Roman"/>
          <w:b/>
          <w:szCs w:val="28"/>
        </w:rPr>
      </w:pPr>
      <w:r w:rsidRPr="00887784">
        <w:rPr>
          <w:rFonts w:cs="Times New Roman"/>
          <w:b/>
          <w:szCs w:val="28"/>
        </w:rPr>
        <w:t>вирішила:</w:t>
      </w:r>
    </w:p>
    <w:p w:rsidR="00565FED" w:rsidRPr="00887784" w:rsidRDefault="00565FED" w:rsidP="00565FED">
      <w:pPr>
        <w:spacing w:after="0" w:line="240" w:lineRule="auto"/>
        <w:ind w:firstLine="851"/>
        <w:jc w:val="center"/>
        <w:rPr>
          <w:rFonts w:cs="Times New Roman"/>
          <w:b/>
          <w:szCs w:val="28"/>
        </w:rPr>
      </w:pPr>
    </w:p>
    <w:p w:rsidR="00565FED" w:rsidRDefault="00565FED" w:rsidP="00565FED">
      <w:pPr>
        <w:widowControl w:val="0"/>
        <w:numPr>
          <w:ilvl w:val="0"/>
          <w:numId w:val="1"/>
        </w:numPr>
        <w:suppressAutoHyphens/>
        <w:spacing w:after="0" w:line="240" w:lineRule="auto"/>
        <w:ind w:left="0" w:firstLine="709"/>
        <w:contextualSpacing/>
        <w:jc w:val="both"/>
        <w:rPr>
          <w:rFonts w:cs="Times New Roman"/>
        </w:rPr>
      </w:pPr>
      <w:r w:rsidRPr="00384B1F">
        <w:rPr>
          <w:rFonts w:cs="Times New Roman"/>
          <w:szCs w:val="28"/>
        </w:rPr>
        <w:t xml:space="preserve">Затвердити консультативний висновок щодо проекту Закону України </w:t>
      </w:r>
      <w:r w:rsidRPr="00887784">
        <w:rPr>
          <w:rFonts w:cs="Times New Roman"/>
          <w:szCs w:val="28"/>
        </w:rPr>
        <w:t>«Про внесення зміни до статті 142 Закону України «Про судоустрій і статус суддів» щодо пенсійного забезпечення та щомісячного довічного грошового утримання судді у відставці»</w:t>
      </w:r>
      <w:r w:rsidRPr="001C2256">
        <w:rPr>
          <w:rFonts w:cs="Times New Roman"/>
        </w:rPr>
        <w:t xml:space="preserve"> від </w:t>
      </w:r>
      <w:r w:rsidRPr="00887784">
        <w:rPr>
          <w:rFonts w:cs="Times New Roman"/>
          <w:szCs w:val="28"/>
        </w:rPr>
        <w:t>19 грудня 2019 р</w:t>
      </w:r>
      <w:r>
        <w:rPr>
          <w:rFonts w:cs="Times New Roman"/>
          <w:szCs w:val="28"/>
        </w:rPr>
        <w:t>оку</w:t>
      </w:r>
      <w:r w:rsidRPr="001C2256">
        <w:rPr>
          <w:rFonts w:cs="Times New Roman"/>
        </w:rPr>
        <w:t>, реєстраційний № 2</w:t>
      </w:r>
      <w:r>
        <w:rPr>
          <w:rFonts w:cs="Times New Roman"/>
        </w:rPr>
        <w:t>626, внесеного</w:t>
      </w:r>
      <w:r w:rsidRPr="001C2256">
        <w:rPr>
          <w:rFonts w:cs="Times New Roman"/>
        </w:rPr>
        <w:t xml:space="preserve"> на розгляд Верховної Ради України у порядку законодавчої ініціативи </w:t>
      </w:r>
      <w:r w:rsidRPr="00887784">
        <w:rPr>
          <w:rFonts w:cs="Times New Roman"/>
          <w:szCs w:val="28"/>
        </w:rPr>
        <w:t xml:space="preserve">народними депутатами України </w:t>
      </w:r>
      <w:proofErr w:type="spellStart"/>
      <w:r w:rsidRPr="00887784">
        <w:rPr>
          <w:rFonts w:cs="Times New Roman"/>
          <w:szCs w:val="28"/>
        </w:rPr>
        <w:t>Павлішем</w:t>
      </w:r>
      <w:proofErr w:type="spellEnd"/>
      <w:r w:rsidRPr="00887784">
        <w:rPr>
          <w:rFonts w:cs="Times New Roman"/>
          <w:szCs w:val="28"/>
        </w:rPr>
        <w:t xml:space="preserve"> П.В., Новіковим М.М., Бабієм Р.В., </w:t>
      </w:r>
      <w:proofErr w:type="spellStart"/>
      <w:r w:rsidRPr="00887784">
        <w:rPr>
          <w:rFonts w:cs="Times New Roman"/>
          <w:szCs w:val="28"/>
        </w:rPr>
        <w:t>Дирдіним</w:t>
      </w:r>
      <w:proofErr w:type="spellEnd"/>
      <w:r w:rsidRPr="00887784">
        <w:rPr>
          <w:rFonts w:cs="Times New Roman"/>
          <w:szCs w:val="28"/>
        </w:rPr>
        <w:t xml:space="preserve"> М.Є., </w:t>
      </w:r>
      <w:proofErr w:type="spellStart"/>
      <w:r w:rsidRPr="00887784">
        <w:rPr>
          <w:rFonts w:cs="Times New Roman"/>
          <w:szCs w:val="28"/>
        </w:rPr>
        <w:t>Задорожнім</w:t>
      </w:r>
      <w:proofErr w:type="spellEnd"/>
      <w:r w:rsidRPr="00887784">
        <w:rPr>
          <w:rFonts w:cs="Times New Roman"/>
          <w:szCs w:val="28"/>
        </w:rPr>
        <w:t xml:space="preserve"> А.В., </w:t>
      </w:r>
      <w:proofErr w:type="spellStart"/>
      <w:r w:rsidRPr="00887784">
        <w:rPr>
          <w:rFonts w:cs="Times New Roman"/>
          <w:szCs w:val="28"/>
        </w:rPr>
        <w:t>Костіним</w:t>
      </w:r>
      <w:proofErr w:type="spellEnd"/>
      <w:r w:rsidRPr="00887784">
        <w:rPr>
          <w:rFonts w:cs="Times New Roman"/>
          <w:szCs w:val="28"/>
        </w:rPr>
        <w:t xml:space="preserve"> А.Є., </w:t>
      </w:r>
      <w:proofErr w:type="spellStart"/>
      <w:r w:rsidRPr="00887784">
        <w:rPr>
          <w:rFonts w:cs="Times New Roman"/>
          <w:szCs w:val="28"/>
        </w:rPr>
        <w:t>Мережком</w:t>
      </w:r>
      <w:proofErr w:type="spellEnd"/>
      <w:r w:rsidRPr="00887784">
        <w:rPr>
          <w:rFonts w:cs="Times New Roman"/>
          <w:szCs w:val="28"/>
        </w:rPr>
        <w:t xml:space="preserve"> О.О.</w:t>
      </w:r>
    </w:p>
    <w:p w:rsidR="00565FED" w:rsidRPr="001C2256" w:rsidRDefault="00565FED" w:rsidP="00565FED">
      <w:pPr>
        <w:spacing w:after="0" w:line="240" w:lineRule="auto"/>
        <w:ind w:firstLine="851"/>
        <w:contextualSpacing/>
        <w:jc w:val="both"/>
        <w:rPr>
          <w:rFonts w:cs="Times New Roman"/>
        </w:rPr>
      </w:pPr>
    </w:p>
    <w:p w:rsidR="00565FED" w:rsidRPr="001C2256" w:rsidRDefault="00565FED" w:rsidP="00565FED">
      <w:pPr>
        <w:pStyle w:val="a3"/>
        <w:ind w:firstLine="709"/>
        <w:jc w:val="both"/>
        <w:rPr>
          <w:rFonts w:cs="Times New Roman"/>
          <w:szCs w:val="28"/>
        </w:rPr>
      </w:pPr>
      <w:r w:rsidRPr="001C2256">
        <w:rPr>
          <w:rFonts w:cs="Times New Roman"/>
          <w:szCs w:val="28"/>
        </w:rPr>
        <w:t>2. Надіслати консультативний висновок до Верховної Ради України.</w:t>
      </w:r>
    </w:p>
    <w:p w:rsidR="00565FED" w:rsidRPr="001C2256" w:rsidRDefault="00565FED" w:rsidP="00565FED">
      <w:pPr>
        <w:tabs>
          <w:tab w:val="left" w:pos="9360"/>
        </w:tabs>
        <w:spacing w:after="0" w:line="240" w:lineRule="auto"/>
        <w:ind w:firstLine="851"/>
        <w:jc w:val="both"/>
        <w:rPr>
          <w:rFonts w:cs="Times New Roman"/>
          <w:szCs w:val="28"/>
        </w:rPr>
      </w:pPr>
    </w:p>
    <w:p w:rsidR="00565FED" w:rsidRPr="00887784" w:rsidRDefault="00565FED" w:rsidP="00565FED">
      <w:pPr>
        <w:spacing w:after="0" w:line="240" w:lineRule="auto"/>
        <w:rPr>
          <w:rFonts w:cs="Times New Roman"/>
          <w:b/>
          <w:szCs w:val="28"/>
        </w:rPr>
      </w:pPr>
    </w:p>
    <w:p w:rsidR="00565FED" w:rsidRDefault="00565FED" w:rsidP="00565FED">
      <w:pPr>
        <w:spacing w:after="0" w:line="240" w:lineRule="auto"/>
        <w:rPr>
          <w:rFonts w:cs="Times New Roman"/>
          <w:b/>
          <w:szCs w:val="28"/>
        </w:rPr>
      </w:pPr>
      <w:r>
        <w:rPr>
          <w:rFonts w:cs="Times New Roman"/>
          <w:b/>
          <w:szCs w:val="28"/>
        </w:rPr>
        <w:t xml:space="preserve">Голова Вищої ради правосуддя      </w:t>
      </w:r>
      <w:r>
        <w:rPr>
          <w:rFonts w:cs="Times New Roman"/>
          <w:b/>
          <w:szCs w:val="28"/>
        </w:rPr>
        <w:tab/>
      </w:r>
      <w:r>
        <w:rPr>
          <w:rFonts w:cs="Times New Roman"/>
          <w:b/>
          <w:szCs w:val="28"/>
        </w:rPr>
        <w:tab/>
      </w:r>
      <w:r>
        <w:rPr>
          <w:rFonts w:cs="Times New Roman"/>
          <w:b/>
          <w:szCs w:val="28"/>
        </w:rPr>
        <w:tab/>
      </w:r>
      <w:r>
        <w:rPr>
          <w:rFonts w:cs="Times New Roman"/>
          <w:b/>
          <w:szCs w:val="28"/>
        </w:rPr>
        <w:tab/>
        <w:t xml:space="preserve">         А.А. </w:t>
      </w:r>
      <w:proofErr w:type="spellStart"/>
      <w:r>
        <w:rPr>
          <w:rFonts w:cs="Times New Roman"/>
          <w:b/>
          <w:szCs w:val="28"/>
        </w:rPr>
        <w:t>Овсієнко</w:t>
      </w:r>
      <w:proofErr w:type="spellEnd"/>
    </w:p>
    <w:p w:rsidR="00565FED" w:rsidRDefault="00565FED" w:rsidP="00565FED">
      <w:pPr>
        <w:pStyle w:val="a4"/>
        <w:spacing w:after="0" w:line="240" w:lineRule="auto"/>
        <w:ind w:left="0" w:firstLine="567"/>
        <w:jc w:val="both"/>
        <w:rPr>
          <w:szCs w:val="28"/>
        </w:rPr>
      </w:pPr>
    </w:p>
    <w:p w:rsidR="00565FED" w:rsidRDefault="00533C23" w:rsidP="00565FED">
      <w:pPr>
        <w:pStyle w:val="a3"/>
        <w:tabs>
          <w:tab w:val="left" w:pos="4536"/>
          <w:tab w:val="left" w:pos="5387"/>
        </w:tabs>
        <w:ind w:firstLine="708"/>
        <w:jc w:val="center"/>
        <w:rPr>
          <w:rFonts w:cs="Times New Roman"/>
          <w:b/>
          <w:szCs w:val="28"/>
        </w:rPr>
      </w:pPr>
      <w:r>
        <w:rPr>
          <w:rFonts w:cs="Times New Roman"/>
          <w:b/>
          <w:szCs w:val="28"/>
        </w:rPr>
        <w:lastRenderedPageBreak/>
        <w:t xml:space="preserve">                                    </w:t>
      </w:r>
      <w:r w:rsidR="00565FED" w:rsidRPr="00B71DAF">
        <w:rPr>
          <w:rFonts w:cs="Times New Roman"/>
          <w:b/>
          <w:szCs w:val="28"/>
        </w:rPr>
        <w:t>З</w:t>
      </w:r>
      <w:r w:rsidR="00565FED">
        <w:rPr>
          <w:rFonts w:cs="Times New Roman"/>
          <w:b/>
          <w:szCs w:val="28"/>
        </w:rPr>
        <w:t>АТВЕРДЖЕНО</w:t>
      </w:r>
    </w:p>
    <w:p w:rsidR="00565FED" w:rsidRPr="00B71DAF" w:rsidRDefault="00565FED" w:rsidP="00565FED">
      <w:pPr>
        <w:pStyle w:val="a3"/>
        <w:tabs>
          <w:tab w:val="left" w:pos="4395"/>
          <w:tab w:val="left" w:pos="5245"/>
        </w:tabs>
        <w:ind w:firstLine="708"/>
        <w:jc w:val="center"/>
        <w:rPr>
          <w:rFonts w:cs="Times New Roman"/>
          <w:b/>
          <w:szCs w:val="28"/>
        </w:rPr>
      </w:pPr>
      <w:r>
        <w:rPr>
          <w:rFonts w:cs="Times New Roman"/>
          <w:b/>
          <w:szCs w:val="28"/>
        </w:rPr>
        <w:t xml:space="preserve">                                    </w:t>
      </w:r>
      <w:r w:rsidR="00533C23">
        <w:rPr>
          <w:rFonts w:cs="Times New Roman"/>
          <w:b/>
          <w:szCs w:val="28"/>
        </w:rPr>
        <w:t xml:space="preserve">                           </w:t>
      </w:r>
      <w:r w:rsidRPr="00B71DAF">
        <w:rPr>
          <w:rFonts w:cs="Times New Roman"/>
          <w:b/>
          <w:szCs w:val="28"/>
        </w:rPr>
        <w:t>Рішення Вищої ради правосуддя</w:t>
      </w:r>
    </w:p>
    <w:p w:rsidR="00565FED" w:rsidRDefault="00565FED" w:rsidP="00565FED">
      <w:pPr>
        <w:pStyle w:val="a3"/>
        <w:tabs>
          <w:tab w:val="left" w:pos="3969"/>
          <w:tab w:val="left" w:pos="4678"/>
          <w:tab w:val="left" w:pos="5387"/>
        </w:tabs>
        <w:ind w:firstLine="708"/>
        <w:jc w:val="center"/>
        <w:rPr>
          <w:rFonts w:cs="Times New Roman"/>
          <w:b/>
          <w:szCs w:val="28"/>
        </w:rPr>
      </w:pPr>
      <w:r>
        <w:rPr>
          <w:rFonts w:cs="Times New Roman"/>
          <w:b/>
          <w:szCs w:val="28"/>
        </w:rPr>
        <w:t xml:space="preserve">                                                         </w:t>
      </w:r>
      <w:r w:rsidR="00533C23">
        <w:rPr>
          <w:rFonts w:cs="Times New Roman"/>
          <w:b/>
          <w:szCs w:val="28"/>
        </w:rPr>
        <w:t xml:space="preserve">        </w:t>
      </w:r>
      <w:r>
        <w:rPr>
          <w:rFonts w:cs="Times New Roman"/>
          <w:b/>
          <w:szCs w:val="28"/>
        </w:rPr>
        <w:t>«</w:t>
      </w:r>
      <w:r w:rsidR="00533C23">
        <w:rPr>
          <w:rFonts w:cs="Times New Roman"/>
          <w:b/>
          <w:szCs w:val="28"/>
        </w:rPr>
        <w:t>14</w:t>
      </w:r>
      <w:r>
        <w:rPr>
          <w:rFonts w:cs="Times New Roman"/>
          <w:b/>
          <w:szCs w:val="28"/>
        </w:rPr>
        <w:t>»</w:t>
      </w:r>
      <w:r w:rsidR="00533C23">
        <w:rPr>
          <w:rFonts w:cs="Times New Roman"/>
          <w:b/>
          <w:szCs w:val="28"/>
        </w:rPr>
        <w:t xml:space="preserve"> січня</w:t>
      </w:r>
      <w:r>
        <w:rPr>
          <w:rFonts w:cs="Times New Roman"/>
          <w:b/>
          <w:szCs w:val="28"/>
        </w:rPr>
        <w:t xml:space="preserve"> 2020</w:t>
      </w:r>
      <w:r w:rsidRPr="00B71DAF">
        <w:rPr>
          <w:rFonts w:cs="Times New Roman"/>
          <w:b/>
          <w:szCs w:val="28"/>
        </w:rPr>
        <w:t xml:space="preserve"> р</w:t>
      </w:r>
      <w:r>
        <w:rPr>
          <w:rFonts w:cs="Times New Roman"/>
          <w:b/>
          <w:szCs w:val="28"/>
        </w:rPr>
        <w:t xml:space="preserve">оку №  </w:t>
      </w:r>
      <w:r w:rsidR="00533C23">
        <w:rPr>
          <w:rFonts w:cs="Times New Roman"/>
          <w:b/>
          <w:szCs w:val="28"/>
        </w:rPr>
        <w:t>54/0/15-20</w:t>
      </w:r>
    </w:p>
    <w:p w:rsidR="00565FED" w:rsidRPr="00B71DAF" w:rsidRDefault="00565FED" w:rsidP="00565FED">
      <w:pPr>
        <w:pStyle w:val="a3"/>
        <w:tabs>
          <w:tab w:val="left" w:pos="4395"/>
        </w:tabs>
        <w:rPr>
          <w:rFonts w:cs="Times New Roman"/>
          <w:szCs w:val="28"/>
        </w:rPr>
      </w:pPr>
    </w:p>
    <w:p w:rsidR="00565FED" w:rsidRDefault="00565FED" w:rsidP="00565FED">
      <w:pPr>
        <w:pStyle w:val="a3"/>
        <w:tabs>
          <w:tab w:val="left" w:pos="3969"/>
        </w:tabs>
        <w:ind w:firstLine="708"/>
        <w:jc w:val="center"/>
        <w:rPr>
          <w:rFonts w:cs="Times New Roman"/>
          <w:b/>
          <w:szCs w:val="28"/>
        </w:rPr>
      </w:pPr>
      <w:r>
        <w:rPr>
          <w:rFonts w:cs="Times New Roman"/>
          <w:b/>
          <w:szCs w:val="28"/>
        </w:rPr>
        <w:t xml:space="preserve">  </w:t>
      </w:r>
    </w:p>
    <w:p w:rsidR="00565FED" w:rsidRPr="00B71DAF" w:rsidRDefault="00565FED" w:rsidP="00565FED">
      <w:pPr>
        <w:pStyle w:val="a3"/>
        <w:tabs>
          <w:tab w:val="left" w:pos="3969"/>
        </w:tabs>
        <w:ind w:firstLine="708"/>
        <w:jc w:val="center"/>
        <w:rPr>
          <w:rFonts w:cs="Times New Roman"/>
          <w:szCs w:val="28"/>
        </w:rPr>
      </w:pPr>
      <w:r>
        <w:rPr>
          <w:rFonts w:cs="Times New Roman"/>
          <w:b/>
          <w:szCs w:val="28"/>
        </w:rPr>
        <w:t xml:space="preserve">                    </w:t>
      </w:r>
    </w:p>
    <w:p w:rsidR="00565FED" w:rsidRPr="00B71DAF" w:rsidRDefault="00565FED" w:rsidP="00565FED">
      <w:pPr>
        <w:pStyle w:val="a3"/>
        <w:jc w:val="center"/>
        <w:rPr>
          <w:rFonts w:cs="Times New Roman"/>
          <w:szCs w:val="28"/>
        </w:rPr>
      </w:pPr>
      <w:r w:rsidRPr="00B71DAF">
        <w:rPr>
          <w:rFonts w:cs="Times New Roman"/>
          <w:szCs w:val="28"/>
        </w:rPr>
        <w:t>КОНСУЛЬТАТИВНИЙ ВИСНОВОК</w:t>
      </w:r>
      <w:bookmarkStart w:id="2" w:name="_GoBack"/>
      <w:bookmarkEnd w:id="2"/>
    </w:p>
    <w:p w:rsidR="00565FED" w:rsidRPr="00E713A5" w:rsidRDefault="00565FED" w:rsidP="00565FED">
      <w:pPr>
        <w:pStyle w:val="a3"/>
        <w:jc w:val="center"/>
        <w:rPr>
          <w:rFonts w:cs="Times New Roman"/>
          <w:szCs w:val="28"/>
        </w:rPr>
      </w:pPr>
      <w:r w:rsidRPr="00B71DAF">
        <w:rPr>
          <w:rFonts w:cs="Times New Roman"/>
          <w:szCs w:val="28"/>
        </w:rPr>
        <w:t xml:space="preserve">щодо законопроекту № </w:t>
      </w:r>
      <w:r>
        <w:rPr>
          <w:rFonts w:cs="Times New Roman"/>
          <w:szCs w:val="28"/>
        </w:rPr>
        <w:t>2</w:t>
      </w:r>
      <w:r w:rsidRPr="00E713A5">
        <w:rPr>
          <w:rFonts w:cs="Times New Roman"/>
          <w:szCs w:val="28"/>
        </w:rPr>
        <w:t>626</w:t>
      </w:r>
    </w:p>
    <w:p w:rsidR="00565FED" w:rsidRDefault="00565FED" w:rsidP="00565FED">
      <w:pPr>
        <w:pStyle w:val="a3"/>
        <w:ind w:firstLine="567"/>
        <w:jc w:val="center"/>
        <w:rPr>
          <w:rFonts w:cs="Times New Roman"/>
          <w:szCs w:val="28"/>
        </w:rPr>
      </w:pPr>
    </w:p>
    <w:p w:rsidR="00565FED" w:rsidRPr="00E713A5" w:rsidRDefault="00565FED" w:rsidP="00565FED">
      <w:pPr>
        <w:spacing w:after="0" w:line="240" w:lineRule="auto"/>
        <w:ind w:firstLine="720"/>
        <w:jc w:val="both"/>
        <w:rPr>
          <w:szCs w:val="28"/>
        </w:rPr>
      </w:pPr>
      <w:r w:rsidRPr="00E713A5">
        <w:rPr>
          <w:rStyle w:val="rvts9"/>
          <w:szCs w:val="28"/>
        </w:rPr>
        <w:t xml:space="preserve">1. </w:t>
      </w:r>
      <w:r w:rsidRPr="00E713A5">
        <w:rPr>
          <w:szCs w:val="28"/>
        </w:rPr>
        <w:t xml:space="preserve">Проект Закону України «Про внесення зміни до статті 142 Закону України «Про судоустрій і статус суддів» щодо пенсійного забезпечення та щомісячного довічного грошового утримання судді у відставці» (реєстраційний № 2626 </w:t>
      </w:r>
      <w:r>
        <w:rPr>
          <w:szCs w:val="28"/>
        </w:rPr>
        <w:t>від 19</w:t>
      </w:r>
      <w:r w:rsidRPr="00E713A5">
        <w:rPr>
          <w:szCs w:val="28"/>
        </w:rPr>
        <w:t xml:space="preserve"> грудня </w:t>
      </w:r>
      <w:r>
        <w:rPr>
          <w:szCs w:val="28"/>
        </w:rPr>
        <w:t>2019 р</w:t>
      </w:r>
      <w:r w:rsidRPr="00E713A5">
        <w:rPr>
          <w:szCs w:val="28"/>
        </w:rPr>
        <w:t xml:space="preserve">оку) (далі – законопроект № 2626) </w:t>
      </w:r>
      <w:r>
        <w:rPr>
          <w:szCs w:val="28"/>
        </w:rPr>
        <w:t>внесен</w:t>
      </w:r>
      <w:r w:rsidRPr="00E713A5">
        <w:rPr>
          <w:szCs w:val="28"/>
        </w:rPr>
        <w:t xml:space="preserve">о народними депутатами України </w:t>
      </w:r>
      <w:proofErr w:type="spellStart"/>
      <w:r w:rsidRPr="00E713A5">
        <w:rPr>
          <w:szCs w:val="28"/>
        </w:rPr>
        <w:t>Павлішем</w:t>
      </w:r>
      <w:proofErr w:type="spellEnd"/>
      <w:r w:rsidRPr="00E713A5">
        <w:rPr>
          <w:szCs w:val="28"/>
        </w:rPr>
        <w:t xml:space="preserve"> П.В., Новіковим М.М., Бабієм Р.В., </w:t>
      </w:r>
      <w:proofErr w:type="spellStart"/>
      <w:r w:rsidRPr="00E713A5">
        <w:rPr>
          <w:szCs w:val="28"/>
        </w:rPr>
        <w:t>Дирдіним</w:t>
      </w:r>
      <w:proofErr w:type="spellEnd"/>
      <w:r w:rsidRPr="00E713A5">
        <w:rPr>
          <w:szCs w:val="28"/>
        </w:rPr>
        <w:t xml:space="preserve"> М.Є., </w:t>
      </w:r>
      <w:proofErr w:type="spellStart"/>
      <w:r w:rsidRPr="00E713A5">
        <w:rPr>
          <w:szCs w:val="28"/>
        </w:rPr>
        <w:t>Задорожнім</w:t>
      </w:r>
      <w:proofErr w:type="spellEnd"/>
      <w:r w:rsidRPr="00E713A5">
        <w:rPr>
          <w:szCs w:val="28"/>
        </w:rPr>
        <w:t xml:space="preserve"> А.В., </w:t>
      </w:r>
      <w:proofErr w:type="spellStart"/>
      <w:r w:rsidRPr="00E713A5">
        <w:rPr>
          <w:szCs w:val="28"/>
        </w:rPr>
        <w:t>Костіним</w:t>
      </w:r>
      <w:proofErr w:type="spellEnd"/>
      <w:r w:rsidRPr="00E713A5">
        <w:rPr>
          <w:szCs w:val="28"/>
        </w:rPr>
        <w:t xml:space="preserve"> А.Є., </w:t>
      </w:r>
      <w:proofErr w:type="spellStart"/>
      <w:r w:rsidRPr="00E713A5">
        <w:rPr>
          <w:szCs w:val="28"/>
        </w:rPr>
        <w:t>Мережком</w:t>
      </w:r>
      <w:proofErr w:type="spellEnd"/>
      <w:r w:rsidRPr="00E713A5">
        <w:rPr>
          <w:szCs w:val="28"/>
        </w:rPr>
        <w:t xml:space="preserve"> О.О.</w:t>
      </w:r>
    </w:p>
    <w:p w:rsidR="00565FED" w:rsidRPr="00041BAB" w:rsidRDefault="00565FED" w:rsidP="00565FED">
      <w:pPr>
        <w:spacing w:after="0" w:line="240" w:lineRule="auto"/>
        <w:ind w:firstLine="720"/>
        <w:jc w:val="both"/>
        <w:rPr>
          <w:bCs/>
          <w:szCs w:val="28"/>
        </w:rPr>
      </w:pPr>
      <w:r>
        <w:rPr>
          <w:szCs w:val="28"/>
        </w:rPr>
        <w:t>Законопроектом</w:t>
      </w:r>
      <w:r w:rsidRPr="00A6758A">
        <w:rPr>
          <w:szCs w:val="28"/>
        </w:rPr>
        <w:t xml:space="preserve"> </w:t>
      </w:r>
      <w:r w:rsidRPr="00E713A5">
        <w:rPr>
          <w:szCs w:val="28"/>
        </w:rPr>
        <w:t xml:space="preserve">пропонується доповнити </w:t>
      </w:r>
      <w:r>
        <w:rPr>
          <w:rFonts w:cs="Mangal"/>
          <w:bCs/>
          <w:color w:val="000000"/>
          <w:szCs w:val="28"/>
        </w:rPr>
        <w:t xml:space="preserve">статтю 142 Закону України </w:t>
      </w:r>
      <w:r>
        <w:rPr>
          <w:rFonts w:cs="TimesNewRomanPSMT"/>
          <w:szCs w:val="28"/>
        </w:rPr>
        <w:t>«</w:t>
      </w:r>
      <w:r w:rsidRPr="00C437F0">
        <w:rPr>
          <w:rStyle w:val="rvts23"/>
          <w:szCs w:val="28"/>
        </w:rPr>
        <w:t>Про судоустрій і статус суддів</w:t>
      </w:r>
      <w:r>
        <w:rPr>
          <w:rFonts w:cs="TimesNewRomanPSMT"/>
          <w:szCs w:val="28"/>
        </w:rPr>
        <w:t>»</w:t>
      </w:r>
      <w:r>
        <w:rPr>
          <w:bCs/>
          <w:szCs w:val="28"/>
        </w:rPr>
        <w:t xml:space="preserve"> частиною шостою, якою передбачити, що  видача документів, </w:t>
      </w:r>
      <w:r w:rsidRPr="00AA10BD">
        <w:rPr>
          <w:szCs w:val="28"/>
          <w:lang w:eastAsia="en-GB"/>
        </w:rPr>
        <w:t>які стосуються персональних даних судді, перерахунку судді грошових сум на утримання його у в</w:t>
      </w:r>
      <w:r>
        <w:rPr>
          <w:szCs w:val="28"/>
          <w:lang w:eastAsia="en-GB"/>
        </w:rPr>
        <w:t>ідставці або пенсійних платежів</w:t>
      </w:r>
      <w:r w:rsidRPr="00AA10BD">
        <w:rPr>
          <w:szCs w:val="28"/>
          <w:lang w:eastAsia="en-GB"/>
        </w:rPr>
        <w:t xml:space="preserve"> при відсутності ліквідаційної комісії відповідного суду</w:t>
      </w:r>
      <w:r>
        <w:rPr>
          <w:szCs w:val="28"/>
          <w:lang w:eastAsia="en-GB"/>
        </w:rPr>
        <w:t>,</w:t>
      </w:r>
      <w:r w:rsidRPr="00AA10BD">
        <w:rPr>
          <w:szCs w:val="28"/>
          <w:lang w:eastAsia="en-GB"/>
        </w:rPr>
        <w:t xml:space="preserve"> покладається</w:t>
      </w:r>
      <w:r>
        <w:rPr>
          <w:szCs w:val="28"/>
          <w:lang w:eastAsia="en-GB"/>
        </w:rPr>
        <w:t xml:space="preserve"> на </w:t>
      </w:r>
      <w:r w:rsidRPr="000C7734">
        <w:rPr>
          <w:szCs w:val="28"/>
          <w:lang w:eastAsia="en-GB"/>
        </w:rPr>
        <w:t>новостворені суди</w:t>
      </w:r>
      <w:r>
        <w:rPr>
          <w:szCs w:val="28"/>
          <w:lang w:eastAsia="en-GB"/>
        </w:rPr>
        <w:t>: Верховний Суд, апеляційні суди та місцеві суди відповідної спеціалізації.</w:t>
      </w:r>
    </w:p>
    <w:p w:rsidR="00565FED" w:rsidRDefault="00565FED" w:rsidP="00565FED">
      <w:pPr>
        <w:spacing w:after="0" w:line="240" w:lineRule="auto"/>
        <w:ind w:firstLine="720"/>
        <w:jc w:val="both"/>
        <w:rPr>
          <w:color w:val="000000"/>
          <w:szCs w:val="28"/>
        </w:rPr>
      </w:pPr>
      <w:r w:rsidRPr="00393888">
        <w:rPr>
          <w:color w:val="000000"/>
          <w:szCs w:val="28"/>
        </w:rPr>
        <w:t>Згідно з пояснювальною запискою проект акта розроблено</w:t>
      </w:r>
      <w:r>
        <w:rPr>
          <w:color w:val="000000"/>
          <w:szCs w:val="28"/>
        </w:rPr>
        <w:t xml:space="preserve"> </w:t>
      </w:r>
      <w:r w:rsidRPr="00041BAB">
        <w:rPr>
          <w:color w:val="000000"/>
          <w:szCs w:val="28"/>
        </w:rPr>
        <w:t>з метою забезпечення</w:t>
      </w:r>
      <w:r>
        <w:rPr>
          <w:color w:val="000000"/>
          <w:szCs w:val="28"/>
        </w:rPr>
        <w:t xml:space="preserve"> прав та гарантій суддів шляхом</w:t>
      </w:r>
      <w:r w:rsidRPr="00041BAB">
        <w:rPr>
          <w:color w:val="000000"/>
          <w:szCs w:val="28"/>
        </w:rPr>
        <w:t xml:space="preserve"> </w:t>
      </w:r>
      <w:r w:rsidRPr="000872F8">
        <w:rPr>
          <w:color w:val="000000"/>
          <w:szCs w:val="28"/>
        </w:rPr>
        <w:t>законодавчого врегулювання порядку видачі</w:t>
      </w:r>
      <w:r w:rsidRPr="00041BAB">
        <w:rPr>
          <w:color w:val="000000"/>
          <w:szCs w:val="28"/>
        </w:rPr>
        <w:t xml:space="preserve"> </w:t>
      </w:r>
      <w:r w:rsidRPr="000872F8">
        <w:rPr>
          <w:color w:val="000000"/>
          <w:szCs w:val="28"/>
        </w:rPr>
        <w:t>довідок для перерахунку щомісячного довічного грошового утримання (виплати пенсійних платежів) суддям, які пішли у відставку з судів, щ</w:t>
      </w:r>
      <w:r>
        <w:rPr>
          <w:color w:val="000000"/>
          <w:szCs w:val="28"/>
        </w:rPr>
        <w:t xml:space="preserve">о у подальшому були ліквідовані. </w:t>
      </w:r>
      <w:r w:rsidRPr="00041BAB">
        <w:rPr>
          <w:color w:val="000000"/>
          <w:szCs w:val="28"/>
        </w:rPr>
        <w:t xml:space="preserve"> </w:t>
      </w:r>
    </w:p>
    <w:p w:rsidR="00565FED" w:rsidRPr="00041BAB" w:rsidRDefault="00565FED" w:rsidP="00565FED">
      <w:pPr>
        <w:spacing w:after="0" w:line="240" w:lineRule="auto"/>
        <w:ind w:firstLine="720"/>
        <w:jc w:val="both"/>
        <w:rPr>
          <w:color w:val="000000"/>
          <w:szCs w:val="28"/>
        </w:rPr>
      </w:pPr>
    </w:p>
    <w:p w:rsidR="00565FED" w:rsidRPr="00A6758A" w:rsidRDefault="00565FED" w:rsidP="00565FED">
      <w:pPr>
        <w:tabs>
          <w:tab w:val="left" w:pos="0"/>
        </w:tabs>
        <w:autoSpaceDE w:val="0"/>
        <w:autoSpaceDN w:val="0"/>
        <w:adjustRightInd w:val="0"/>
        <w:spacing w:after="0" w:line="240" w:lineRule="auto"/>
        <w:ind w:firstLine="709"/>
        <w:jc w:val="both"/>
        <w:rPr>
          <w:rFonts w:cs="Times New Roman"/>
          <w:szCs w:val="28"/>
          <w:lang w:eastAsia="uk-UA"/>
        </w:rPr>
      </w:pPr>
      <w:r w:rsidRPr="00A6758A">
        <w:rPr>
          <w:rFonts w:cs="Times New Roman"/>
          <w:szCs w:val="28"/>
        </w:rPr>
        <w:t xml:space="preserve">2. Вища рада правосуддя відповідно до пункту 15 частини першої   </w:t>
      </w:r>
      <w:r>
        <w:rPr>
          <w:rFonts w:cs="Times New Roman"/>
          <w:szCs w:val="28"/>
        </w:rPr>
        <w:t xml:space="preserve">            </w:t>
      </w:r>
      <w:r w:rsidRPr="00A6758A">
        <w:rPr>
          <w:rFonts w:cs="Times New Roman"/>
          <w:szCs w:val="28"/>
        </w:rPr>
        <w:t xml:space="preserve">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565FED" w:rsidRDefault="00565FED" w:rsidP="00565FED">
      <w:pPr>
        <w:tabs>
          <w:tab w:val="left" w:pos="0"/>
        </w:tabs>
        <w:autoSpaceDE w:val="0"/>
        <w:autoSpaceDN w:val="0"/>
        <w:adjustRightInd w:val="0"/>
        <w:spacing w:after="0" w:line="240" w:lineRule="auto"/>
        <w:ind w:firstLine="709"/>
        <w:jc w:val="both"/>
        <w:rPr>
          <w:rFonts w:cs="Times New Roman"/>
          <w:iCs/>
          <w:szCs w:val="28"/>
        </w:rPr>
      </w:pPr>
      <w:r w:rsidRPr="00A6758A">
        <w:rPr>
          <w:rFonts w:cs="Times New Roman"/>
          <w:iCs/>
          <w:szCs w:val="28"/>
        </w:rPr>
        <w:t>Усі проекти законів, що стосуються статусу суддів, відправлення правосуддя, процесуальних законів</w:t>
      </w:r>
      <w:r>
        <w:rPr>
          <w:rFonts w:cs="Times New Roman"/>
          <w:iCs/>
          <w:szCs w:val="28"/>
        </w:rPr>
        <w:t>,</w:t>
      </w:r>
      <w:r w:rsidRPr="00A6758A">
        <w:rPr>
          <w:rFonts w:cs="Times New Roman"/>
          <w:iCs/>
          <w:szCs w:val="28"/>
        </w:rPr>
        <w:t xml:space="preserve"> та</w:t>
      </w:r>
      <w:r>
        <w:rPr>
          <w:rFonts w:cs="Times New Roman"/>
          <w:iCs/>
          <w:szCs w:val="28"/>
          <w:lang w:val="ru-RU"/>
        </w:rPr>
        <w:t>,</w:t>
      </w:r>
      <w:r w:rsidRPr="00A6758A">
        <w:rPr>
          <w:rFonts w:cs="Times New Roman"/>
          <w:iCs/>
          <w:szCs w:val="28"/>
        </w:rPr>
        <w:t xml:space="preserve"> загальніше</w:t>
      </w:r>
      <w:r>
        <w:rPr>
          <w:rFonts w:cs="Times New Roman"/>
          <w:iCs/>
          <w:szCs w:val="28"/>
          <w:lang w:val="ru-RU"/>
        </w:rPr>
        <w:t>,</w:t>
      </w:r>
      <w:r w:rsidRPr="00A6758A">
        <w:rPr>
          <w:rFonts w:cs="Times New Roman"/>
          <w:iCs/>
          <w:szCs w:val="28"/>
        </w:rPr>
        <w:t xml:space="preserve">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A6758A">
        <w:rPr>
          <w:rStyle w:val="a7"/>
          <w:iCs/>
          <w:szCs w:val="28"/>
        </w:rPr>
        <w:footnoteReference w:id="1"/>
      </w:r>
      <w:r w:rsidRPr="00A6758A">
        <w:rPr>
          <w:rFonts w:cs="Times New Roman"/>
          <w:iCs/>
          <w:szCs w:val="28"/>
        </w:rPr>
        <w:t>.</w:t>
      </w:r>
    </w:p>
    <w:p w:rsidR="00565FED" w:rsidRPr="00C833A4" w:rsidRDefault="00565FED" w:rsidP="00565FED">
      <w:pPr>
        <w:autoSpaceDE w:val="0"/>
        <w:autoSpaceDN w:val="0"/>
        <w:adjustRightInd w:val="0"/>
        <w:spacing w:after="0" w:line="240" w:lineRule="auto"/>
        <w:ind w:firstLine="567"/>
        <w:jc w:val="both"/>
        <w:rPr>
          <w:rFonts w:cs="Times New Roman"/>
          <w:iCs/>
          <w:szCs w:val="28"/>
        </w:rPr>
      </w:pPr>
      <w:r>
        <w:rPr>
          <w:rFonts w:cs="Times New Roman"/>
          <w:iCs/>
          <w:szCs w:val="28"/>
        </w:rPr>
        <w:t xml:space="preserve">При підготовці консультативного висновку до  законопроекту </w:t>
      </w:r>
      <w:r w:rsidRPr="004671E4">
        <w:rPr>
          <w:rFonts w:cs="Times New Roman"/>
          <w:iCs/>
          <w:szCs w:val="28"/>
        </w:rPr>
        <w:t>№ 2</w:t>
      </w:r>
      <w:r>
        <w:rPr>
          <w:rFonts w:cs="Times New Roman"/>
          <w:iCs/>
          <w:szCs w:val="28"/>
        </w:rPr>
        <w:t xml:space="preserve">626 </w:t>
      </w:r>
      <w:r w:rsidRPr="004671E4">
        <w:rPr>
          <w:rFonts w:cs="Times New Roman"/>
          <w:iCs/>
          <w:szCs w:val="28"/>
        </w:rPr>
        <w:t>Вищ</w:t>
      </w:r>
      <w:r>
        <w:rPr>
          <w:rFonts w:cs="Times New Roman"/>
          <w:iCs/>
          <w:szCs w:val="28"/>
        </w:rPr>
        <w:t>ою</w:t>
      </w:r>
      <w:r w:rsidRPr="004671E4">
        <w:rPr>
          <w:rFonts w:cs="Times New Roman"/>
          <w:iCs/>
          <w:szCs w:val="28"/>
        </w:rPr>
        <w:t xml:space="preserve"> рад</w:t>
      </w:r>
      <w:r>
        <w:rPr>
          <w:rFonts w:cs="Times New Roman"/>
          <w:iCs/>
          <w:szCs w:val="28"/>
        </w:rPr>
        <w:t>ою</w:t>
      </w:r>
      <w:r w:rsidRPr="004671E4">
        <w:rPr>
          <w:rFonts w:cs="Times New Roman"/>
          <w:iCs/>
          <w:szCs w:val="28"/>
        </w:rPr>
        <w:t xml:space="preserve"> правосуддя </w:t>
      </w:r>
      <w:r>
        <w:rPr>
          <w:rFonts w:cs="Times New Roman"/>
          <w:iCs/>
          <w:szCs w:val="28"/>
        </w:rPr>
        <w:t xml:space="preserve">опрацьовано </w:t>
      </w:r>
      <w:r w:rsidRPr="004671E4">
        <w:rPr>
          <w:rFonts w:cs="Times New Roman"/>
          <w:iCs/>
          <w:szCs w:val="28"/>
        </w:rPr>
        <w:t>позиці</w:t>
      </w:r>
      <w:r>
        <w:rPr>
          <w:rFonts w:cs="Times New Roman"/>
          <w:iCs/>
          <w:szCs w:val="28"/>
        </w:rPr>
        <w:t>ї Ради суддів України,</w:t>
      </w:r>
      <w:r w:rsidRPr="004671E4">
        <w:rPr>
          <w:rFonts w:cs="Times New Roman"/>
          <w:iCs/>
          <w:szCs w:val="28"/>
        </w:rPr>
        <w:t xml:space="preserve"> </w:t>
      </w:r>
      <w:r w:rsidRPr="004671E4">
        <w:rPr>
          <w:rFonts w:cs="Times New Roman"/>
          <w:iCs/>
          <w:szCs w:val="28"/>
        </w:rPr>
        <w:lastRenderedPageBreak/>
        <w:t>На</w:t>
      </w:r>
      <w:r>
        <w:rPr>
          <w:rFonts w:cs="Times New Roman"/>
          <w:iCs/>
          <w:szCs w:val="28"/>
        </w:rPr>
        <w:t xml:space="preserve">ціональної школи суддів України, Асоціації суддів господарських судів України. </w:t>
      </w:r>
    </w:p>
    <w:p w:rsidR="00565FED" w:rsidRPr="005F6047" w:rsidRDefault="00565FED" w:rsidP="00565FED">
      <w:pPr>
        <w:pStyle w:val="a3"/>
        <w:tabs>
          <w:tab w:val="left" w:pos="1134"/>
        </w:tabs>
        <w:ind w:firstLine="851"/>
        <w:jc w:val="both"/>
        <w:rPr>
          <w:rFonts w:cs="Times New Roman"/>
          <w:szCs w:val="28"/>
        </w:rPr>
      </w:pPr>
      <w:r>
        <w:rPr>
          <w:szCs w:val="28"/>
        </w:rPr>
        <w:t xml:space="preserve">Статтею 126 </w:t>
      </w:r>
      <w:r w:rsidRPr="005F6047">
        <w:rPr>
          <w:szCs w:val="28"/>
        </w:rPr>
        <w:t xml:space="preserve">Конституції України передбачено, що незалежність і недоторканність судді гарантуються Конституцією і законами України. </w:t>
      </w:r>
    </w:p>
    <w:p w:rsidR="00565FED" w:rsidRPr="005F6047" w:rsidRDefault="00565FED" w:rsidP="00565FED">
      <w:pPr>
        <w:spacing w:after="0" w:line="240" w:lineRule="auto"/>
        <w:ind w:firstLine="851"/>
        <w:jc w:val="both"/>
        <w:rPr>
          <w:szCs w:val="28"/>
        </w:rPr>
      </w:pPr>
      <w:r w:rsidRPr="005F6047">
        <w:rPr>
          <w:szCs w:val="28"/>
        </w:rPr>
        <w:t>Визначені Конституцією та законами України гарантії незалежності суддів є невід’ємним елементом їх</w:t>
      </w:r>
      <w:r>
        <w:rPr>
          <w:szCs w:val="28"/>
        </w:rPr>
        <w:t>нього статусу, поширюю</w:t>
      </w:r>
      <w:r w:rsidRPr="005F6047">
        <w:rPr>
          <w:szCs w:val="28"/>
        </w:rPr>
        <w:t>ться на всіх суддів та є необхідною умовою здійснення правосуддя неупередженим, безстороннім і справедливим судом.</w:t>
      </w:r>
    </w:p>
    <w:p w:rsidR="00565FED" w:rsidRPr="004C6C99" w:rsidRDefault="00565FED" w:rsidP="00565FED">
      <w:pPr>
        <w:tabs>
          <w:tab w:val="left" w:pos="0"/>
        </w:tabs>
        <w:autoSpaceDE w:val="0"/>
        <w:autoSpaceDN w:val="0"/>
        <w:adjustRightInd w:val="0"/>
        <w:spacing w:after="0" w:line="240" w:lineRule="auto"/>
        <w:ind w:firstLine="709"/>
        <w:jc w:val="both"/>
        <w:rPr>
          <w:rFonts w:cs="Times New Roman"/>
          <w:szCs w:val="28"/>
          <w:lang w:val="ru-RU"/>
        </w:rPr>
      </w:pPr>
      <w:r w:rsidRPr="005F6047">
        <w:rPr>
          <w:rFonts w:cs="Times New Roman"/>
          <w:szCs w:val="28"/>
        </w:rPr>
        <w:t>Серед визначених законодавством засобів забезпечення гарантій незалежності судді є, зокрема, особливий порядок фінансування та організаційного забезпечення діяльності судів, установлений законом, а також належне матеріальне та соціальне забезпечення судді</w:t>
      </w:r>
      <w:r>
        <w:rPr>
          <w:rFonts w:cs="Times New Roman"/>
          <w:szCs w:val="28"/>
        </w:rPr>
        <w:t>,</w:t>
      </w:r>
      <w:r w:rsidRPr="00DC40F0">
        <w:rPr>
          <w:rFonts w:cs="Times New Roman"/>
          <w:szCs w:val="28"/>
        </w:rPr>
        <w:t xml:space="preserve"> право судді на відставку</w:t>
      </w:r>
      <w:r>
        <w:rPr>
          <w:rFonts w:cs="Times New Roman"/>
          <w:szCs w:val="28"/>
          <w:lang w:val="ru-RU"/>
        </w:rPr>
        <w:t>.</w:t>
      </w:r>
    </w:p>
    <w:p w:rsidR="00565FED" w:rsidRPr="009E6644" w:rsidRDefault="00565FED" w:rsidP="00565FED">
      <w:pPr>
        <w:tabs>
          <w:tab w:val="left" w:pos="0"/>
        </w:tabs>
        <w:autoSpaceDE w:val="0"/>
        <w:autoSpaceDN w:val="0"/>
        <w:adjustRightInd w:val="0"/>
        <w:spacing w:after="0" w:line="240" w:lineRule="auto"/>
        <w:ind w:firstLine="709"/>
        <w:jc w:val="both"/>
        <w:rPr>
          <w:rFonts w:cs="Times New Roman"/>
          <w:color w:val="000000"/>
          <w:szCs w:val="28"/>
        </w:rPr>
      </w:pPr>
      <w:r w:rsidRPr="00063586">
        <w:rPr>
          <w:rFonts w:cs="Times New Roman"/>
          <w:color w:val="000000"/>
          <w:szCs w:val="28"/>
        </w:rPr>
        <w:t xml:space="preserve">Конституційний Суд також у своїх рішеннях </w:t>
      </w:r>
      <w:r>
        <w:rPr>
          <w:rFonts w:cs="Times New Roman"/>
          <w:color w:val="000000"/>
          <w:szCs w:val="28"/>
          <w:shd w:val="clear" w:color="auto" w:fill="FFFFFF"/>
        </w:rPr>
        <w:t xml:space="preserve">від </w:t>
      </w:r>
      <w:r w:rsidRPr="00DB3A7A">
        <w:rPr>
          <w:rFonts w:cs="Times New Roman"/>
          <w:color w:val="000000"/>
          <w:szCs w:val="28"/>
          <w:shd w:val="clear" w:color="auto" w:fill="FFFFFF"/>
        </w:rPr>
        <w:t xml:space="preserve">20 березня 2002 року </w:t>
      </w:r>
      <w:r>
        <w:rPr>
          <w:rFonts w:cs="Times New Roman"/>
          <w:color w:val="000000"/>
          <w:szCs w:val="28"/>
          <w:shd w:val="clear" w:color="auto" w:fill="FFFFFF"/>
        </w:rPr>
        <w:t xml:space="preserve">             № 5-рп/2002, від </w:t>
      </w:r>
      <w:r w:rsidRPr="00DB3A7A">
        <w:rPr>
          <w:rFonts w:cs="Times New Roman"/>
          <w:color w:val="000000"/>
          <w:szCs w:val="28"/>
          <w:shd w:val="clear" w:color="auto" w:fill="FFFFFF"/>
        </w:rPr>
        <w:t xml:space="preserve">1 грудня 2004 року  № 19-рп/2004, від 11 жовтня 2005 року </w:t>
      </w:r>
      <w:r>
        <w:rPr>
          <w:rFonts w:cs="Times New Roman"/>
          <w:color w:val="000000"/>
          <w:szCs w:val="28"/>
          <w:shd w:val="clear" w:color="auto" w:fill="FFFFFF"/>
        </w:rPr>
        <w:t xml:space="preserve">   </w:t>
      </w:r>
      <w:r w:rsidRPr="00DB3A7A">
        <w:rPr>
          <w:rFonts w:cs="Times New Roman"/>
          <w:color w:val="000000"/>
          <w:szCs w:val="28"/>
          <w:shd w:val="clear" w:color="auto" w:fill="FFFFFF"/>
        </w:rPr>
        <w:t xml:space="preserve">№ 8-рп/2005, від 22 травня 2008 року № 10-рп/2008, від 3 червня 2013 року </w:t>
      </w:r>
      <w:r>
        <w:rPr>
          <w:rFonts w:cs="Times New Roman"/>
          <w:color w:val="000000"/>
          <w:szCs w:val="28"/>
          <w:shd w:val="clear" w:color="auto" w:fill="FFFFFF"/>
        </w:rPr>
        <w:t xml:space="preserve">             </w:t>
      </w:r>
      <w:r w:rsidRPr="00DB3A7A">
        <w:rPr>
          <w:rFonts w:cs="Times New Roman"/>
          <w:color w:val="000000"/>
          <w:szCs w:val="28"/>
          <w:shd w:val="clear" w:color="auto" w:fill="FFFFFF"/>
        </w:rPr>
        <w:t>№ 3-рп/2013</w:t>
      </w:r>
      <w:r>
        <w:rPr>
          <w:rFonts w:cs="Times New Roman"/>
          <w:color w:val="000000"/>
          <w:szCs w:val="28"/>
          <w:shd w:val="clear" w:color="auto" w:fill="FFFFFF"/>
        </w:rPr>
        <w:t>,</w:t>
      </w:r>
      <w:r w:rsidRPr="00DB3A7A">
        <w:rPr>
          <w:rFonts w:cs="Times New Roman"/>
          <w:color w:val="000000"/>
          <w:szCs w:val="28"/>
          <w:shd w:val="clear" w:color="auto" w:fill="FFFFFF"/>
        </w:rPr>
        <w:t xml:space="preserve"> </w:t>
      </w:r>
      <w:r>
        <w:rPr>
          <w:rFonts w:cs="Times New Roman"/>
          <w:color w:val="000000"/>
          <w:szCs w:val="28"/>
          <w:shd w:val="clear" w:color="auto" w:fill="FFFFFF"/>
        </w:rPr>
        <w:t xml:space="preserve">від </w:t>
      </w:r>
      <w:r w:rsidRPr="002E4AA5">
        <w:rPr>
          <w:rFonts w:cs="Times New Roman"/>
          <w:color w:val="000000"/>
          <w:szCs w:val="28"/>
          <w:shd w:val="clear" w:color="auto" w:fill="FFFFFF"/>
        </w:rPr>
        <w:t xml:space="preserve">8 червня 2016 року </w:t>
      </w:r>
      <w:r>
        <w:rPr>
          <w:rFonts w:cs="Times New Roman"/>
          <w:color w:val="000000"/>
          <w:szCs w:val="28"/>
          <w:shd w:val="clear" w:color="auto" w:fill="FFFFFF"/>
        </w:rPr>
        <w:t>№</w:t>
      </w:r>
      <w:r w:rsidRPr="002E4AA5">
        <w:rPr>
          <w:rFonts w:cs="Times New Roman"/>
          <w:color w:val="000000"/>
          <w:szCs w:val="28"/>
          <w:shd w:val="clear" w:color="auto" w:fill="FFFFFF"/>
        </w:rPr>
        <w:t xml:space="preserve"> 4-рп/2016</w:t>
      </w:r>
      <w:r>
        <w:rPr>
          <w:rFonts w:cs="Times New Roman"/>
          <w:color w:val="000000"/>
          <w:szCs w:val="28"/>
          <w:shd w:val="clear" w:color="auto" w:fill="FFFFFF"/>
        </w:rPr>
        <w:t xml:space="preserve">, від 4 грудня 2018 року          № 11-р/2018 </w:t>
      </w:r>
      <w:r w:rsidRPr="00063586">
        <w:rPr>
          <w:rFonts w:cs="Times New Roman"/>
          <w:color w:val="000000"/>
          <w:szCs w:val="28"/>
        </w:rPr>
        <w:t>неодноразово висловлював позиції з питань матеріального забезпечення суддів як невід’ємної складової їх статусу.</w:t>
      </w:r>
    </w:p>
    <w:p w:rsidR="00565FED" w:rsidRDefault="00565FED" w:rsidP="00565FED">
      <w:pPr>
        <w:pStyle w:val="a9"/>
        <w:shd w:val="clear" w:color="auto" w:fill="FFFFFF"/>
        <w:spacing w:before="0" w:beforeAutospacing="0" w:after="0" w:afterAutospacing="0" w:line="270" w:lineRule="atLeast"/>
        <w:ind w:firstLine="567"/>
        <w:jc w:val="both"/>
        <w:textAlignment w:val="baseline"/>
        <w:rPr>
          <w:color w:val="000000"/>
          <w:sz w:val="28"/>
          <w:szCs w:val="28"/>
          <w:lang w:val="uk-UA"/>
        </w:rPr>
      </w:pPr>
      <w:r w:rsidRPr="00063586">
        <w:rPr>
          <w:color w:val="000000"/>
          <w:sz w:val="28"/>
          <w:szCs w:val="28"/>
          <w:lang w:val="uk-UA"/>
        </w:rPr>
        <w:t>Конституційний статус суддів, які здійснюють правосуддя, та суддів у відставці передбачає їх належне матеріальне забезпечення, яке повинне гарантувати здійснення справедливого, незалежного, неупередженого правосуддя.</w:t>
      </w:r>
      <w:r>
        <w:rPr>
          <w:color w:val="000000"/>
          <w:sz w:val="28"/>
          <w:szCs w:val="28"/>
          <w:lang w:val="uk-UA"/>
        </w:rPr>
        <w:t xml:space="preserve"> </w:t>
      </w:r>
      <w:r w:rsidRPr="00063586">
        <w:rPr>
          <w:color w:val="000000"/>
          <w:sz w:val="28"/>
          <w:szCs w:val="28"/>
          <w:lang w:val="uk-UA"/>
        </w:rPr>
        <w:t>Гарантуючи незалежність суддів, держава зобов’язується її забезпечити, зокрема, через матеріальний і соціальний захист, що включає гарантію виплати щомісячного довічного грошового утримання суддям у відставці.</w:t>
      </w:r>
    </w:p>
    <w:p w:rsidR="00565FED" w:rsidRPr="00063586" w:rsidRDefault="00565FED" w:rsidP="00565FED">
      <w:pPr>
        <w:pStyle w:val="a9"/>
        <w:shd w:val="clear" w:color="auto" w:fill="FFFFFF"/>
        <w:spacing w:before="0" w:beforeAutospacing="0" w:after="0" w:afterAutospacing="0" w:line="270" w:lineRule="atLeast"/>
        <w:ind w:firstLine="567"/>
        <w:jc w:val="both"/>
        <w:textAlignment w:val="baseline"/>
        <w:rPr>
          <w:color w:val="000000"/>
          <w:sz w:val="28"/>
          <w:szCs w:val="28"/>
          <w:lang w:val="uk-UA"/>
        </w:rPr>
      </w:pPr>
      <w:r w:rsidRPr="00063586">
        <w:rPr>
          <w:color w:val="000000"/>
          <w:sz w:val="28"/>
          <w:szCs w:val="28"/>
          <w:lang w:val="uk-UA"/>
        </w:rPr>
        <w:t>Довічне грошове утримання суддів є особливою формою соціального забезпечення суддів, зміст якої полягає у гарантованій державою щомісячній, звільненій від сплати податків грошовій виплаті, що слугує забезпеченню належного матеріального утримання суддів, у тому числі після звільнення від виконання обов’язків судді; щомісячне довічне грошове утримання судді у встановленому розмірі спрямоване на забезпечення гідного його статусу життєвого рівня, оскільки суддя обмежений у праві заробляти додаткові матеріальні блага; особливість щомісячного довічного грошового утримання полягає у правовому регулюванні, а також у джерелах його фінансування.</w:t>
      </w:r>
    </w:p>
    <w:p w:rsidR="00565FED" w:rsidRPr="00063586" w:rsidRDefault="00565FED" w:rsidP="00565FED">
      <w:pPr>
        <w:pStyle w:val="a9"/>
        <w:shd w:val="clear" w:color="auto" w:fill="FFFFFF"/>
        <w:spacing w:before="0" w:beforeAutospacing="0" w:after="0" w:afterAutospacing="0" w:line="270" w:lineRule="atLeast"/>
        <w:ind w:firstLine="567"/>
        <w:jc w:val="both"/>
        <w:textAlignment w:val="baseline"/>
        <w:rPr>
          <w:sz w:val="28"/>
          <w:szCs w:val="28"/>
          <w:lang w:val="uk-UA"/>
        </w:rPr>
      </w:pPr>
      <w:r>
        <w:rPr>
          <w:sz w:val="28"/>
          <w:szCs w:val="28"/>
          <w:lang w:val="uk-UA"/>
        </w:rPr>
        <w:t>Статтею</w:t>
      </w:r>
      <w:r w:rsidRPr="00063586">
        <w:rPr>
          <w:sz w:val="28"/>
          <w:szCs w:val="28"/>
          <w:lang w:val="uk-UA"/>
        </w:rPr>
        <w:t xml:space="preserve"> 142 Закон</w:t>
      </w:r>
      <w:r>
        <w:rPr>
          <w:sz w:val="28"/>
          <w:szCs w:val="28"/>
          <w:lang w:val="uk-UA"/>
        </w:rPr>
        <w:t xml:space="preserve">у </w:t>
      </w:r>
      <w:r w:rsidRPr="00063586">
        <w:rPr>
          <w:sz w:val="28"/>
          <w:szCs w:val="28"/>
          <w:lang w:val="uk-UA"/>
        </w:rPr>
        <w:t xml:space="preserve">України </w:t>
      </w:r>
      <w:r w:rsidRPr="00063586">
        <w:rPr>
          <w:color w:val="000000"/>
          <w:sz w:val="28"/>
          <w:szCs w:val="28"/>
          <w:lang w:val="uk-UA"/>
        </w:rPr>
        <w:t xml:space="preserve">«Про судоустрій і статус суддів» </w:t>
      </w:r>
      <w:r w:rsidRPr="00063586">
        <w:rPr>
          <w:sz w:val="28"/>
          <w:szCs w:val="28"/>
          <w:lang w:val="uk-UA"/>
        </w:rPr>
        <w:t xml:space="preserve">передбачено виплату пенсії або щомісячного довічного грошового утримання цієї категорії суддів Пенсійним фондом України за рахунок Державного бюджету України. </w:t>
      </w:r>
    </w:p>
    <w:p w:rsidR="00565FED" w:rsidRPr="00A21E9A" w:rsidRDefault="00565FED" w:rsidP="00565FED">
      <w:pPr>
        <w:pStyle w:val="a9"/>
        <w:shd w:val="clear" w:color="auto" w:fill="FFFFFF"/>
        <w:spacing w:before="0" w:beforeAutospacing="0" w:after="0" w:afterAutospacing="0" w:line="270" w:lineRule="atLeast"/>
        <w:ind w:firstLine="567"/>
        <w:jc w:val="both"/>
        <w:textAlignment w:val="baseline"/>
        <w:rPr>
          <w:color w:val="000000"/>
          <w:sz w:val="28"/>
          <w:szCs w:val="28"/>
          <w:lang w:val="uk-UA"/>
        </w:rPr>
      </w:pPr>
      <w:r w:rsidRPr="00063586">
        <w:rPr>
          <w:color w:val="000000"/>
          <w:sz w:val="28"/>
          <w:szCs w:val="28"/>
          <w:lang w:val="uk-UA"/>
        </w:rPr>
        <w:t>Відповідно до Порядку подання документів для призначення (перерахунку) і виплати щомісячного довічного грошового утримання суд</w:t>
      </w:r>
      <w:r>
        <w:rPr>
          <w:color w:val="000000"/>
          <w:sz w:val="28"/>
          <w:szCs w:val="28"/>
          <w:lang w:val="uk-UA"/>
        </w:rPr>
        <w:t>дям у відставці, затвердженого п</w:t>
      </w:r>
      <w:r w:rsidRPr="00063586">
        <w:rPr>
          <w:color w:val="000000"/>
          <w:sz w:val="28"/>
          <w:szCs w:val="28"/>
          <w:lang w:val="uk-UA"/>
        </w:rPr>
        <w:t>остановою правління П</w:t>
      </w:r>
      <w:r>
        <w:rPr>
          <w:color w:val="000000"/>
          <w:sz w:val="28"/>
          <w:szCs w:val="28"/>
          <w:lang w:val="uk-UA"/>
        </w:rPr>
        <w:t xml:space="preserve">енсійного фонду </w:t>
      </w:r>
      <w:r w:rsidRPr="00063586">
        <w:rPr>
          <w:color w:val="000000"/>
          <w:sz w:val="28"/>
          <w:szCs w:val="28"/>
          <w:lang w:val="uk-UA"/>
        </w:rPr>
        <w:t>У</w:t>
      </w:r>
      <w:r>
        <w:rPr>
          <w:color w:val="000000"/>
          <w:sz w:val="28"/>
          <w:szCs w:val="28"/>
          <w:lang w:val="uk-UA"/>
        </w:rPr>
        <w:t xml:space="preserve">країни від 25 січня 2008 року № 3-1 </w:t>
      </w:r>
      <w:r w:rsidRPr="00063586">
        <w:rPr>
          <w:color w:val="000000"/>
          <w:sz w:val="28"/>
          <w:szCs w:val="28"/>
          <w:lang w:val="uk-UA"/>
        </w:rPr>
        <w:t>(далі – Порядок 3-1)</w:t>
      </w:r>
      <w:r>
        <w:rPr>
          <w:color w:val="000000"/>
          <w:sz w:val="28"/>
          <w:szCs w:val="28"/>
          <w:lang w:val="uk-UA"/>
        </w:rPr>
        <w:t>,</w:t>
      </w:r>
      <w:r w:rsidRPr="00063586">
        <w:rPr>
          <w:color w:val="000000"/>
          <w:sz w:val="28"/>
          <w:szCs w:val="28"/>
          <w:lang w:val="uk-UA"/>
        </w:rPr>
        <w:t xml:space="preserve"> органами Пенсійного фонду України здійснюється перерахунок довічного грошового утримання.</w:t>
      </w:r>
      <w:r>
        <w:rPr>
          <w:color w:val="000000"/>
          <w:sz w:val="28"/>
          <w:szCs w:val="28"/>
          <w:lang w:val="uk-UA"/>
        </w:rPr>
        <w:t xml:space="preserve"> </w:t>
      </w:r>
      <w:r w:rsidRPr="00063586">
        <w:rPr>
          <w:color w:val="000000"/>
          <w:sz w:val="28"/>
          <w:szCs w:val="28"/>
          <w:lang w:val="uk-UA"/>
        </w:rPr>
        <w:t xml:space="preserve">Порядком 3-1 передбачено, що до заяви про перерахунок щомісячного довічного утримання додається довідка про суддівську </w:t>
      </w:r>
      <w:r w:rsidRPr="00C809C4">
        <w:rPr>
          <w:color w:val="000000"/>
          <w:sz w:val="28"/>
          <w:szCs w:val="28"/>
          <w:lang w:val="uk-UA"/>
        </w:rPr>
        <w:t xml:space="preserve">винагороду </w:t>
      </w:r>
      <w:r w:rsidRPr="00C809C4">
        <w:rPr>
          <w:color w:val="000000"/>
          <w:sz w:val="28"/>
          <w:szCs w:val="28"/>
          <w:shd w:val="clear" w:color="auto" w:fill="FFFFFF"/>
          <w:lang w:val="uk-UA"/>
        </w:rPr>
        <w:t>(довідка про винагороду судді К</w:t>
      </w:r>
      <w:r w:rsidRPr="005D2A3F">
        <w:rPr>
          <w:color w:val="000000"/>
          <w:sz w:val="28"/>
          <w:szCs w:val="28"/>
          <w:shd w:val="clear" w:color="auto" w:fill="FFFFFF"/>
          <w:lang w:val="uk-UA"/>
        </w:rPr>
        <w:t>он</w:t>
      </w:r>
      <w:r>
        <w:rPr>
          <w:color w:val="000000"/>
          <w:sz w:val="28"/>
          <w:szCs w:val="28"/>
          <w:shd w:val="clear" w:color="auto" w:fill="FFFFFF"/>
          <w:lang w:val="uk-UA"/>
        </w:rPr>
        <w:t xml:space="preserve">ституційного </w:t>
      </w:r>
      <w:r w:rsidRPr="00C809C4">
        <w:rPr>
          <w:color w:val="000000"/>
          <w:sz w:val="28"/>
          <w:szCs w:val="28"/>
          <w:shd w:val="clear" w:color="auto" w:fill="FFFFFF"/>
          <w:lang w:val="uk-UA"/>
        </w:rPr>
        <w:t>С</w:t>
      </w:r>
      <w:r>
        <w:rPr>
          <w:color w:val="000000"/>
          <w:sz w:val="28"/>
          <w:szCs w:val="28"/>
          <w:shd w:val="clear" w:color="auto" w:fill="FFFFFF"/>
          <w:lang w:val="uk-UA"/>
        </w:rPr>
        <w:t xml:space="preserve">уду </w:t>
      </w:r>
      <w:r w:rsidRPr="00C809C4">
        <w:rPr>
          <w:color w:val="000000"/>
          <w:sz w:val="28"/>
          <w:szCs w:val="28"/>
          <w:shd w:val="clear" w:color="auto" w:fill="FFFFFF"/>
          <w:lang w:val="uk-UA"/>
        </w:rPr>
        <w:t>У</w:t>
      </w:r>
      <w:r>
        <w:rPr>
          <w:color w:val="000000"/>
          <w:sz w:val="28"/>
          <w:szCs w:val="28"/>
          <w:shd w:val="clear" w:color="auto" w:fill="FFFFFF"/>
          <w:lang w:val="uk-UA"/>
        </w:rPr>
        <w:t>країни</w:t>
      </w:r>
      <w:r w:rsidRPr="00C809C4">
        <w:rPr>
          <w:color w:val="000000"/>
          <w:sz w:val="28"/>
          <w:szCs w:val="28"/>
          <w:shd w:val="clear" w:color="auto" w:fill="FFFFFF"/>
          <w:lang w:val="uk-UA"/>
        </w:rPr>
        <w:t>)</w:t>
      </w:r>
      <w:r>
        <w:rPr>
          <w:color w:val="000000"/>
          <w:sz w:val="28"/>
          <w:szCs w:val="28"/>
          <w:shd w:val="clear" w:color="auto" w:fill="FFFFFF"/>
          <w:lang w:val="uk-UA"/>
        </w:rPr>
        <w:t xml:space="preserve"> </w:t>
      </w:r>
      <w:r w:rsidRPr="00C809C4">
        <w:rPr>
          <w:color w:val="000000"/>
          <w:sz w:val="28"/>
          <w:szCs w:val="28"/>
          <w:lang w:val="uk-UA"/>
        </w:rPr>
        <w:t xml:space="preserve">працюючого судді за </w:t>
      </w:r>
      <w:r w:rsidRPr="00C809C4">
        <w:rPr>
          <w:color w:val="000000"/>
          <w:sz w:val="28"/>
          <w:szCs w:val="28"/>
          <w:lang w:val="uk-UA"/>
        </w:rPr>
        <w:lastRenderedPageBreak/>
        <w:t>відповідною посадою станом на</w:t>
      </w:r>
      <w:r w:rsidRPr="00063586">
        <w:rPr>
          <w:color w:val="000000"/>
          <w:sz w:val="28"/>
          <w:szCs w:val="28"/>
          <w:lang w:val="uk-UA"/>
        </w:rPr>
        <w:t xml:space="preserve"> дату, з якої </w:t>
      </w:r>
      <w:r w:rsidRPr="00A21E9A">
        <w:rPr>
          <w:color w:val="000000"/>
          <w:sz w:val="28"/>
          <w:szCs w:val="28"/>
          <w:lang w:val="uk-UA"/>
        </w:rPr>
        <w:t>відбулось підвищення розміру суддівської винагороди.</w:t>
      </w:r>
    </w:p>
    <w:p w:rsidR="00565FED" w:rsidRDefault="00565FED" w:rsidP="00565FED">
      <w:pPr>
        <w:pStyle w:val="a9"/>
        <w:shd w:val="clear" w:color="auto" w:fill="FFFFFF"/>
        <w:spacing w:before="0" w:beforeAutospacing="0" w:after="0" w:afterAutospacing="0" w:line="270" w:lineRule="atLeast"/>
        <w:ind w:firstLine="567"/>
        <w:jc w:val="both"/>
        <w:textAlignment w:val="baseline"/>
        <w:rPr>
          <w:color w:val="000000"/>
          <w:sz w:val="28"/>
          <w:szCs w:val="28"/>
          <w:lang w:val="ru-RU"/>
        </w:rPr>
      </w:pPr>
      <w:r w:rsidRPr="00A21E9A">
        <w:rPr>
          <w:color w:val="000000"/>
          <w:sz w:val="28"/>
          <w:szCs w:val="28"/>
          <w:lang w:val="uk-UA"/>
        </w:rPr>
        <w:t>Закон</w:t>
      </w:r>
      <w:r>
        <w:rPr>
          <w:color w:val="000000"/>
          <w:sz w:val="28"/>
          <w:szCs w:val="28"/>
          <w:lang w:val="uk-UA"/>
        </w:rPr>
        <w:t>ом</w:t>
      </w:r>
      <w:r w:rsidRPr="00A21E9A">
        <w:rPr>
          <w:color w:val="000000"/>
          <w:sz w:val="28"/>
          <w:szCs w:val="28"/>
          <w:lang w:val="uk-UA"/>
        </w:rPr>
        <w:t xml:space="preserve"> України «Про судоус</w:t>
      </w:r>
      <w:r>
        <w:rPr>
          <w:color w:val="000000"/>
          <w:sz w:val="28"/>
          <w:szCs w:val="28"/>
          <w:lang w:val="uk-UA"/>
        </w:rPr>
        <w:t>трій і статус суддів» та Порядком</w:t>
      </w:r>
      <w:r w:rsidRPr="00A21E9A">
        <w:rPr>
          <w:color w:val="000000"/>
          <w:sz w:val="28"/>
          <w:szCs w:val="28"/>
          <w:lang w:val="uk-UA"/>
        </w:rPr>
        <w:t xml:space="preserve"> 3-1 не визнач</w:t>
      </w:r>
      <w:r>
        <w:rPr>
          <w:color w:val="000000"/>
          <w:sz w:val="28"/>
          <w:szCs w:val="28"/>
          <w:lang w:val="uk-UA"/>
        </w:rPr>
        <w:t xml:space="preserve">ено </w:t>
      </w:r>
      <w:r w:rsidRPr="00A21E9A">
        <w:rPr>
          <w:color w:val="000000"/>
          <w:sz w:val="28"/>
          <w:szCs w:val="28"/>
          <w:lang w:val="uk-UA"/>
        </w:rPr>
        <w:t>суд</w:t>
      </w:r>
      <w:r>
        <w:rPr>
          <w:color w:val="000000"/>
          <w:sz w:val="28"/>
          <w:szCs w:val="28"/>
          <w:lang w:val="uk-UA"/>
        </w:rPr>
        <w:t xml:space="preserve"> або інший орган державної влади</w:t>
      </w:r>
      <w:r w:rsidRPr="00A21E9A">
        <w:rPr>
          <w:color w:val="000000"/>
          <w:sz w:val="28"/>
          <w:szCs w:val="28"/>
          <w:lang w:val="uk-UA"/>
        </w:rPr>
        <w:t xml:space="preserve">, що повинен чи може видавати </w:t>
      </w:r>
      <w:r>
        <w:rPr>
          <w:color w:val="000000"/>
          <w:sz w:val="28"/>
          <w:szCs w:val="28"/>
          <w:lang w:val="uk-UA"/>
        </w:rPr>
        <w:t xml:space="preserve"> зазначені</w:t>
      </w:r>
      <w:r w:rsidRPr="00A21E9A">
        <w:rPr>
          <w:color w:val="000000"/>
          <w:sz w:val="28"/>
          <w:szCs w:val="28"/>
          <w:lang w:val="uk-UA"/>
        </w:rPr>
        <w:t xml:space="preserve"> довідки. </w:t>
      </w:r>
    </w:p>
    <w:p w:rsidR="00565FED" w:rsidRPr="00A26097" w:rsidRDefault="00565FED" w:rsidP="00565FED">
      <w:pPr>
        <w:spacing w:after="0" w:line="240" w:lineRule="auto"/>
        <w:ind w:firstLine="709"/>
        <w:jc w:val="both"/>
        <w:rPr>
          <w:rFonts w:cs="Times New Roman"/>
        </w:rPr>
      </w:pPr>
      <w:r>
        <w:t xml:space="preserve">У Рішенні Конституційного Суду України від 22 вересня 2005 року              № 5-рп/2005 зазначається,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w:t>
      </w:r>
      <w:r w:rsidRPr="00A26097">
        <w:rPr>
          <w:rFonts w:cs="Times New Roman"/>
        </w:rPr>
        <w:t>неминуче призводить до сваволі</w:t>
      </w:r>
      <w:r>
        <w:rPr>
          <w:rFonts w:cs="Times New Roman"/>
        </w:rPr>
        <w:t>» (абзац другий підпункту 5.4 п</w:t>
      </w:r>
      <w:proofErr w:type="spellStart"/>
      <w:r>
        <w:rPr>
          <w:rFonts w:cs="Times New Roman"/>
          <w:lang w:val="ru-RU"/>
        </w:rPr>
        <w:t>ункту</w:t>
      </w:r>
      <w:proofErr w:type="spellEnd"/>
      <w:r w:rsidRPr="00A26097">
        <w:rPr>
          <w:rFonts w:cs="Times New Roman"/>
        </w:rPr>
        <w:t xml:space="preserve"> 5 мотивувальної частини)</w:t>
      </w:r>
      <w:r w:rsidRPr="00A26097">
        <w:rPr>
          <w:rStyle w:val="a7"/>
        </w:rPr>
        <w:footnoteReference w:id="2"/>
      </w:r>
      <w:r w:rsidRPr="00A26097">
        <w:rPr>
          <w:rFonts w:cs="Times New Roman"/>
        </w:rPr>
        <w:t xml:space="preserve">. </w:t>
      </w:r>
    </w:p>
    <w:p w:rsidR="00565FED" w:rsidRPr="00A26097" w:rsidRDefault="00565FED" w:rsidP="00565FED">
      <w:pPr>
        <w:spacing w:after="0" w:line="240" w:lineRule="auto"/>
        <w:ind w:firstLine="567"/>
        <w:jc w:val="both"/>
        <w:rPr>
          <w:rFonts w:cs="Times New Roman"/>
          <w:shd w:val="clear" w:color="auto" w:fill="FCFCFC"/>
        </w:rPr>
      </w:pPr>
      <w:r w:rsidRPr="00A26097">
        <w:rPr>
          <w:rFonts w:cs="Times New Roman"/>
          <w:shd w:val="clear" w:color="auto" w:fill="FCFCFC"/>
        </w:rPr>
        <w:t>Одним із елементів верховенства права є принцип правової визначеності, у якому стверджується, що обмеження основних прав людини та громадянина і втілення цих обмежень на практиці допустиме лише за умови забезпечення передбачуваності застосування правових норм, встановлюваних такими обмеженнями. Тобто обмеження будь-якого права повинне базуватися на критеріях, які дадуть змогу особі відокремлювати правомірну поведінку від протиправної, передбачати юридичні наслідки своєї поведінки</w:t>
      </w:r>
      <w:r>
        <w:rPr>
          <w:rStyle w:val="a7"/>
          <w:shd w:val="clear" w:color="auto" w:fill="FCFCFC"/>
        </w:rPr>
        <w:footnoteReference w:id="3"/>
      </w:r>
      <w:r w:rsidRPr="00A26097">
        <w:rPr>
          <w:rFonts w:cs="Times New Roman"/>
          <w:shd w:val="clear" w:color="auto" w:fill="FCFCFC"/>
        </w:rPr>
        <w:t>.</w:t>
      </w:r>
    </w:p>
    <w:p w:rsidR="00565FED" w:rsidRPr="005B07B9" w:rsidRDefault="00565FED" w:rsidP="00565FED">
      <w:pPr>
        <w:spacing w:after="0" w:line="240" w:lineRule="auto"/>
        <w:ind w:firstLine="567"/>
        <w:jc w:val="both"/>
        <w:rPr>
          <w:rFonts w:cs="Times New Roman"/>
          <w:szCs w:val="28"/>
          <w:lang w:eastAsia="ru-RU"/>
        </w:rPr>
      </w:pPr>
      <w:r w:rsidRPr="00A26097">
        <w:rPr>
          <w:rFonts w:cs="Times New Roman"/>
          <w:szCs w:val="28"/>
          <w:lang w:eastAsia="ru-RU"/>
        </w:rPr>
        <w:t>Європейський суд з прав людини також неодноразово звертав увагу на необхідність дотримуватися принципу правової визначеності та «якості закону».</w:t>
      </w:r>
      <w:r>
        <w:rPr>
          <w:rFonts w:cs="Times New Roman"/>
          <w:szCs w:val="28"/>
          <w:lang w:eastAsia="ru-RU"/>
        </w:rPr>
        <w:t xml:space="preserve"> З</w:t>
      </w:r>
      <w:r w:rsidRPr="005B07B9">
        <w:rPr>
          <w:rFonts w:cs="Times New Roman"/>
          <w:szCs w:val="28"/>
          <w:lang w:eastAsia="ru-RU"/>
        </w:rPr>
        <w:t xml:space="preserve">акон має бути доступний для конкретної особи і сформульований достатньо чітко для того, щоб вона могла передбачити в розумних межах, виходячи з обставин справи, ті наслідки, які може спричинити дія. </w:t>
      </w:r>
      <w:r w:rsidRPr="004C6C99">
        <w:rPr>
          <w:rFonts w:cs="Times New Roman"/>
          <w:szCs w:val="28"/>
          <w:lang w:eastAsia="ru-RU"/>
        </w:rPr>
        <w:t>Поняття</w:t>
      </w:r>
      <w:r w:rsidRPr="005B07B9">
        <w:rPr>
          <w:rFonts w:cs="Times New Roman"/>
          <w:szCs w:val="28"/>
          <w:lang w:eastAsia="ru-RU"/>
        </w:rPr>
        <w:t xml:space="preserve"> «згідно із законом» вимагає, по-перше, щоб оскаржуваний захід мав певне підґрунтя у національному законодавстві;</w:t>
      </w:r>
      <w:r w:rsidRPr="004C6C99">
        <w:rPr>
          <w:rFonts w:cs="Times New Roman"/>
          <w:szCs w:val="28"/>
          <w:lang w:eastAsia="ru-RU"/>
        </w:rPr>
        <w:t xml:space="preserve"> по-друге,</w:t>
      </w:r>
      <w:r w:rsidRPr="005B07B9">
        <w:rPr>
          <w:rFonts w:cs="Times New Roman"/>
          <w:szCs w:val="28"/>
          <w:lang w:eastAsia="ru-RU"/>
        </w:rPr>
        <w:t xml:space="preserve"> він також стосується якості закону, про який йдеться, вимагаючи, щоб він відповідав принципові верховенства права, був доступний для зацікавленої особи, яка, окрім того, повинна мати можливість передбачити наслідки його дії щодо себе.</w:t>
      </w:r>
    </w:p>
    <w:p w:rsidR="00565FED" w:rsidRPr="00E41044" w:rsidRDefault="00565FED" w:rsidP="00565FED">
      <w:pPr>
        <w:pStyle w:val="a9"/>
        <w:shd w:val="clear" w:color="auto" w:fill="FFFFFF"/>
        <w:spacing w:before="0" w:beforeAutospacing="0" w:after="0" w:afterAutospacing="0" w:line="270" w:lineRule="atLeast"/>
        <w:ind w:firstLine="567"/>
        <w:jc w:val="both"/>
        <w:textAlignment w:val="baseline"/>
        <w:rPr>
          <w:color w:val="000000"/>
          <w:sz w:val="28"/>
          <w:szCs w:val="28"/>
          <w:lang w:val="ru-RU"/>
        </w:rPr>
      </w:pPr>
      <w:r w:rsidRPr="00E03CDB">
        <w:rPr>
          <w:color w:val="000000"/>
          <w:sz w:val="28"/>
          <w:szCs w:val="28"/>
          <w:lang w:val="uk-UA"/>
        </w:rPr>
        <w:t xml:space="preserve">Рішеннями Вищої ради правосуддя від 26 грудня 2017 року розглянуто питання ліквідації, утворення та реорганізації судів. </w:t>
      </w:r>
      <w:proofErr w:type="spellStart"/>
      <w:r w:rsidRPr="00E41044">
        <w:rPr>
          <w:color w:val="000000"/>
          <w:sz w:val="28"/>
          <w:szCs w:val="28"/>
          <w:lang w:val="ru-RU"/>
        </w:rPr>
        <w:t>Крім</w:t>
      </w:r>
      <w:proofErr w:type="spellEnd"/>
      <w:r w:rsidRPr="00E41044">
        <w:rPr>
          <w:color w:val="000000"/>
          <w:sz w:val="28"/>
          <w:szCs w:val="28"/>
          <w:lang w:val="ru-RU"/>
        </w:rPr>
        <w:t xml:space="preserve"> того, в </w:t>
      </w:r>
      <w:proofErr w:type="spellStart"/>
      <w:r w:rsidRPr="00E41044">
        <w:rPr>
          <w:color w:val="000000"/>
          <w:sz w:val="28"/>
          <w:szCs w:val="28"/>
          <w:lang w:val="ru-RU"/>
        </w:rPr>
        <w:t>результаті</w:t>
      </w:r>
      <w:proofErr w:type="spellEnd"/>
      <w:r w:rsidRPr="00E41044">
        <w:rPr>
          <w:color w:val="000000"/>
          <w:sz w:val="28"/>
          <w:szCs w:val="28"/>
          <w:lang w:val="ru-RU"/>
        </w:rPr>
        <w:t xml:space="preserve"> </w:t>
      </w:r>
      <w:proofErr w:type="spellStart"/>
      <w:r w:rsidRPr="00E41044">
        <w:rPr>
          <w:color w:val="000000"/>
          <w:sz w:val="28"/>
          <w:szCs w:val="28"/>
          <w:lang w:val="ru-RU"/>
        </w:rPr>
        <w:t>судової</w:t>
      </w:r>
      <w:proofErr w:type="spellEnd"/>
      <w:r w:rsidRPr="00E41044">
        <w:rPr>
          <w:color w:val="000000"/>
          <w:sz w:val="28"/>
          <w:szCs w:val="28"/>
          <w:lang w:val="ru-RU"/>
        </w:rPr>
        <w:t xml:space="preserve"> </w:t>
      </w:r>
      <w:proofErr w:type="spellStart"/>
      <w:r w:rsidRPr="00E41044">
        <w:rPr>
          <w:color w:val="000000"/>
          <w:sz w:val="28"/>
          <w:szCs w:val="28"/>
          <w:lang w:val="ru-RU"/>
        </w:rPr>
        <w:t>реформи</w:t>
      </w:r>
      <w:proofErr w:type="spellEnd"/>
      <w:r w:rsidRPr="00E41044">
        <w:rPr>
          <w:color w:val="000000"/>
          <w:sz w:val="28"/>
          <w:szCs w:val="28"/>
          <w:lang w:val="ru-RU"/>
        </w:rPr>
        <w:t xml:space="preserve"> </w:t>
      </w:r>
      <w:proofErr w:type="spellStart"/>
      <w:r>
        <w:rPr>
          <w:color w:val="000000"/>
          <w:sz w:val="28"/>
          <w:szCs w:val="28"/>
          <w:lang w:val="ru-RU"/>
        </w:rPr>
        <w:t>мають</w:t>
      </w:r>
      <w:proofErr w:type="spellEnd"/>
      <w:r>
        <w:rPr>
          <w:color w:val="000000"/>
          <w:sz w:val="28"/>
          <w:szCs w:val="28"/>
          <w:lang w:val="ru-RU"/>
        </w:rPr>
        <w:t xml:space="preserve"> </w:t>
      </w:r>
      <w:proofErr w:type="spellStart"/>
      <w:r>
        <w:rPr>
          <w:color w:val="000000"/>
          <w:sz w:val="28"/>
          <w:szCs w:val="28"/>
          <w:lang w:val="ru-RU"/>
        </w:rPr>
        <w:t>припинити</w:t>
      </w:r>
      <w:proofErr w:type="spellEnd"/>
      <w:r w:rsidRPr="00E41044">
        <w:rPr>
          <w:color w:val="000000"/>
          <w:sz w:val="28"/>
          <w:szCs w:val="28"/>
          <w:lang w:val="ru-RU"/>
        </w:rPr>
        <w:t xml:space="preserve"> </w:t>
      </w:r>
      <w:proofErr w:type="gramStart"/>
      <w:r w:rsidRPr="00E41044">
        <w:rPr>
          <w:color w:val="000000"/>
          <w:sz w:val="28"/>
          <w:szCs w:val="28"/>
          <w:lang w:val="ru-RU"/>
        </w:rPr>
        <w:t>свою</w:t>
      </w:r>
      <w:proofErr w:type="gramEnd"/>
      <w:r w:rsidRPr="00E41044">
        <w:rPr>
          <w:color w:val="000000"/>
          <w:sz w:val="28"/>
          <w:szCs w:val="28"/>
          <w:lang w:val="ru-RU"/>
        </w:rPr>
        <w:t xml:space="preserve"> </w:t>
      </w:r>
      <w:proofErr w:type="spellStart"/>
      <w:r>
        <w:rPr>
          <w:color w:val="000000"/>
          <w:sz w:val="28"/>
          <w:szCs w:val="28"/>
          <w:lang w:val="ru-RU"/>
        </w:rPr>
        <w:t>діяльність</w:t>
      </w:r>
      <w:proofErr w:type="spellEnd"/>
      <w:r>
        <w:rPr>
          <w:color w:val="000000"/>
          <w:sz w:val="28"/>
          <w:szCs w:val="28"/>
          <w:lang w:val="ru-RU"/>
        </w:rPr>
        <w:t xml:space="preserve"> </w:t>
      </w:r>
      <w:proofErr w:type="spellStart"/>
      <w:r w:rsidRPr="00E41044">
        <w:rPr>
          <w:color w:val="000000"/>
          <w:sz w:val="28"/>
          <w:szCs w:val="28"/>
          <w:lang w:val="ru-RU"/>
        </w:rPr>
        <w:t>вищі</w:t>
      </w:r>
      <w:proofErr w:type="spellEnd"/>
      <w:r w:rsidRPr="00E41044">
        <w:rPr>
          <w:color w:val="000000"/>
          <w:sz w:val="28"/>
          <w:szCs w:val="28"/>
          <w:lang w:val="ru-RU"/>
        </w:rPr>
        <w:t xml:space="preserve"> </w:t>
      </w:r>
      <w:proofErr w:type="spellStart"/>
      <w:r w:rsidRPr="00E41044">
        <w:rPr>
          <w:color w:val="000000"/>
          <w:sz w:val="28"/>
          <w:szCs w:val="28"/>
          <w:lang w:val="ru-RU"/>
        </w:rPr>
        <w:t>спеціалізовані</w:t>
      </w:r>
      <w:proofErr w:type="spellEnd"/>
      <w:r w:rsidRPr="00E41044">
        <w:rPr>
          <w:color w:val="000000"/>
          <w:sz w:val="28"/>
          <w:szCs w:val="28"/>
          <w:lang w:val="ru-RU"/>
        </w:rPr>
        <w:t xml:space="preserve"> суди та </w:t>
      </w:r>
      <w:proofErr w:type="spellStart"/>
      <w:r w:rsidRPr="00E41044">
        <w:rPr>
          <w:color w:val="000000"/>
          <w:sz w:val="28"/>
          <w:szCs w:val="28"/>
          <w:lang w:val="ru-RU"/>
        </w:rPr>
        <w:t>Верховний</w:t>
      </w:r>
      <w:proofErr w:type="spellEnd"/>
      <w:r w:rsidRPr="00E41044">
        <w:rPr>
          <w:color w:val="000000"/>
          <w:sz w:val="28"/>
          <w:szCs w:val="28"/>
          <w:lang w:val="ru-RU"/>
        </w:rPr>
        <w:t xml:space="preserve"> Суд </w:t>
      </w:r>
      <w:proofErr w:type="spellStart"/>
      <w:r w:rsidRPr="00E41044">
        <w:rPr>
          <w:color w:val="000000"/>
          <w:sz w:val="28"/>
          <w:szCs w:val="28"/>
          <w:lang w:val="ru-RU"/>
        </w:rPr>
        <w:t>України</w:t>
      </w:r>
      <w:proofErr w:type="spellEnd"/>
      <w:r w:rsidRPr="00E41044">
        <w:rPr>
          <w:color w:val="000000"/>
          <w:sz w:val="28"/>
          <w:szCs w:val="28"/>
          <w:lang w:val="ru-RU"/>
        </w:rPr>
        <w:t>.</w:t>
      </w:r>
    </w:p>
    <w:p w:rsidR="00565FED" w:rsidRDefault="00565FED" w:rsidP="00565FED">
      <w:pPr>
        <w:pStyle w:val="a9"/>
        <w:shd w:val="clear" w:color="auto" w:fill="FFFFFF"/>
        <w:spacing w:before="0" w:beforeAutospacing="0" w:after="0" w:afterAutospacing="0"/>
        <w:ind w:firstLine="567"/>
        <w:jc w:val="both"/>
        <w:textAlignment w:val="baseline"/>
        <w:rPr>
          <w:color w:val="000000"/>
          <w:sz w:val="28"/>
          <w:szCs w:val="28"/>
          <w:lang w:val="uk-UA"/>
        </w:rPr>
      </w:pPr>
      <w:r w:rsidRPr="00A21E9A">
        <w:rPr>
          <w:color w:val="000000"/>
          <w:sz w:val="28"/>
          <w:szCs w:val="28"/>
          <w:lang w:val="uk-UA"/>
        </w:rPr>
        <w:t xml:space="preserve">Ліквідація, реорганізація чи перейменування суду, в якому раніше працював суддя у відставці, </w:t>
      </w:r>
      <w:r>
        <w:rPr>
          <w:color w:val="000000"/>
          <w:sz w:val="28"/>
          <w:szCs w:val="28"/>
          <w:lang w:val="uk-UA"/>
        </w:rPr>
        <w:t xml:space="preserve">на думку Вищої  ради правосуддя, </w:t>
      </w:r>
      <w:r w:rsidRPr="00A21E9A">
        <w:rPr>
          <w:color w:val="000000"/>
          <w:sz w:val="28"/>
          <w:szCs w:val="28"/>
          <w:lang w:val="uk-UA"/>
        </w:rPr>
        <w:t xml:space="preserve">не може бути підставою для відмови у видачі іншим судом </w:t>
      </w:r>
      <w:r>
        <w:rPr>
          <w:color w:val="000000"/>
          <w:sz w:val="28"/>
          <w:szCs w:val="28"/>
          <w:lang w:val="uk-UA"/>
        </w:rPr>
        <w:t xml:space="preserve">або органом державної влади </w:t>
      </w:r>
      <w:r w:rsidRPr="00A21E9A">
        <w:rPr>
          <w:color w:val="000000"/>
          <w:sz w:val="28"/>
          <w:szCs w:val="28"/>
          <w:lang w:val="uk-UA"/>
        </w:rPr>
        <w:t>довідок для перерахунку щомісячного довічного грошового утримання, необхідних суддям у відставці.</w:t>
      </w:r>
    </w:p>
    <w:p w:rsidR="007A6C8D" w:rsidRPr="007A6C8D" w:rsidRDefault="00565FED" w:rsidP="007A6C8D">
      <w:pPr>
        <w:pStyle w:val="a9"/>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lastRenderedPageBreak/>
        <w:t xml:space="preserve">Це відповідатиме принципу правової визначеності закону, що </w:t>
      </w:r>
      <w:r w:rsidRPr="007A6C8D">
        <w:rPr>
          <w:color w:val="000000"/>
          <w:sz w:val="28"/>
          <w:szCs w:val="28"/>
          <w:lang w:val="uk-UA"/>
        </w:rPr>
        <w:t xml:space="preserve">гарантований Конституцією </w:t>
      </w:r>
      <w:proofErr w:type="spellStart"/>
      <w:r w:rsidRPr="007A6C8D">
        <w:rPr>
          <w:color w:val="000000"/>
          <w:sz w:val="28"/>
          <w:szCs w:val="28"/>
          <w:lang w:val="uk-UA"/>
        </w:rPr>
        <w:t>України.</w:t>
      </w:r>
      <w:proofErr w:type="spellEnd"/>
    </w:p>
    <w:p w:rsidR="007A6C8D" w:rsidRPr="007A6C8D" w:rsidRDefault="00565FED" w:rsidP="007A6C8D">
      <w:pPr>
        <w:pStyle w:val="a9"/>
        <w:shd w:val="clear" w:color="auto" w:fill="FFFFFF"/>
        <w:spacing w:before="0" w:beforeAutospacing="0" w:after="0" w:afterAutospacing="0"/>
        <w:ind w:firstLine="567"/>
        <w:jc w:val="both"/>
        <w:textAlignment w:val="baseline"/>
        <w:rPr>
          <w:sz w:val="28"/>
          <w:szCs w:val="28"/>
          <w:lang w:val="uk-UA"/>
        </w:rPr>
      </w:pPr>
      <w:r w:rsidRPr="007A6C8D">
        <w:rPr>
          <w:sz w:val="28"/>
          <w:szCs w:val="28"/>
          <w:lang w:val="uk-UA"/>
        </w:rPr>
        <w:t>З</w:t>
      </w:r>
      <w:proofErr w:type="spellStart"/>
      <w:r w:rsidRPr="007A6C8D">
        <w:rPr>
          <w:sz w:val="28"/>
          <w:szCs w:val="28"/>
          <w:lang w:val="ru-RU"/>
        </w:rPr>
        <w:t>аконопроект</w:t>
      </w:r>
      <w:proofErr w:type="spellEnd"/>
      <w:r w:rsidRPr="007A6C8D">
        <w:rPr>
          <w:sz w:val="28"/>
          <w:szCs w:val="28"/>
          <w:lang w:val="ru-RU"/>
        </w:rPr>
        <w:t xml:space="preserve"> № 2626</w:t>
      </w:r>
      <w:r w:rsidRPr="007A6C8D">
        <w:rPr>
          <w:sz w:val="28"/>
          <w:szCs w:val="28"/>
          <w:lang w:val="uk-UA"/>
        </w:rPr>
        <w:t xml:space="preserve"> спрямований на </w:t>
      </w:r>
      <w:proofErr w:type="spellStart"/>
      <w:r w:rsidRPr="007A6C8D">
        <w:rPr>
          <w:color w:val="000000"/>
          <w:sz w:val="28"/>
          <w:szCs w:val="28"/>
          <w:lang w:val="ru-RU"/>
        </w:rPr>
        <w:t>забезпечення</w:t>
      </w:r>
      <w:proofErr w:type="spellEnd"/>
      <w:r w:rsidRPr="007A6C8D">
        <w:rPr>
          <w:color w:val="000000"/>
          <w:sz w:val="28"/>
          <w:szCs w:val="28"/>
          <w:lang w:val="ru-RU"/>
        </w:rPr>
        <w:t xml:space="preserve"> прав </w:t>
      </w:r>
      <w:r w:rsidRPr="007A6C8D">
        <w:rPr>
          <w:color w:val="000000"/>
          <w:sz w:val="28"/>
          <w:szCs w:val="28"/>
          <w:lang w:val="uk-UA"/>
        </w:rPr>
        <w:t>і</w:t>
      </w:r>
      <w:r w:rsidRPr="007A6C8D">
        <w:rPr>
          <w:color w:val="000000"/>
          <w:sz w:val="28"/>
          <w:szCs w:val="28"/>
          <w:lang w:val="ru-RU"/>
        </w:rPr>
        <w:t xml:space="preserve"> </w:t>
      </w:r>
      <w:proofErr w:type="spellStart"/>
      <w:r w:rsidRPr="007A6C8D">
        <w:rPr>
          <w:color w:val="000000"/>
          <w:sz w:val="28"/>
          <w:szCs w:val="28"/>
          <w:lang w:val="ru-RU"/>
        </w:rPr>
        <w:t>гарантій</w:t>
      </w:r>
      <w:proofErr w:type="spellEnd"/>
      <w:r w:rsidRPr="007A6C8D">
        <w:rPr>
          <w:color w:val="000000"/>
          <w:sz w:val="28"/>
          <w:szCs w:val="28"/>
          <w:lang w:val="ru-RU"/>
        </w:rPr>
        <w:t xml:space="preserve"> </w:t>
      </w:r>
      <w:proofErr w:type="spellStart"/>
      <w:r w:rsidRPr="007A6C8D">
        <w:rPr>
          <w:color w:val="000000"/>
          <w:sz w:val="28"/>
          <w:szCs w:val="28"/>
          <w:lang w:val="ru-RU"/>
        </w:rPr>
        <w:t>суддів</w:t>
      </w:r>
      <w:proofErr w:type="spellEnd"/>
      <w:r w:rsidRPr="007A6C8D">
        <w:rPr>
          <w:sz w:val="28"/>
          <w:szCs w:val="28"/>
          <w:lang w:val="uk-UA"/>
        </w:rPr>
        <w:t xml:space="preserve"> та внесений відповідно до вимог законодавства.</w:t>
      </w:r>
    </w:p>
    <w:p w:rsidR="007A6C8D" w:rsidRPr="007A6C8D" w:rsidRDefault="00565FED" w:rsidP="007A6C8D">
      <w:pPr>
        <w:pStyle w:val="a9"/>
        <w:shd w:val="clear" w:color="auto" w:fill="FFFFFF"/>
        <w:spacing w:before="0" w:beforeAutospacing="0" w:after="0" w:afterAutospacing="0"/>
        <w:ind w:firstLine="567"/>
        <w:jc w:val="both"/>
        <w:textAlignment w:val="baseline"/>
        <w:rPr>
          <w:sz w:val="28"/>
          <w:szCs w:val="28"/>
          <w:lang w:val="uk-UA"/>
        </w:rPr>
      </w:pPr>
      <w:r w:rsidRPr="007A6C8D">
        <w:rPr>
          <w:color w:val="000000"/>
          <w:sz w:val="28"/>
          <w:szCs w:val="28"/>
          <w:lang w:val="uk-UA"/>
        </w:rPr>
        <w:t>Також цілком обґрунтованою є запропонована законопроектом зміна щодо того, що о</w:t>
      </w:r>
      <w:r w:rsidRPr="007A6C8D">
        <w:rPr>
          <w:sz w:val="28"/>
          <w:szCs w:val="28"/>
          <w:lang w:val="uk-UA"/>
        </w:rPr>
        <w:t>собові справи суддів ліквідованих або реорганізованих судів зберігаються у судах, на які покладено обов’язок видачі відповідних документів та довідок.</w:t>
      </w:r>
    </w:p>
    <w:p w:rsidR="00565FED" w:rsidRPr="007A6C8D" w:rsidRDefault="00565FED" w:rsidP="007A6C8D">
      <w:pPr>
        <w:pStyle w:val="a9"/>
        <w:shd w:val="clear" w:color="auto" w:fill="FFFFFF"/>
        <w:spacing w:before="0" w:beforeAutospacing="0" w:after="0" w:afterAutospacing="0"/>
        <w:ind w:firstLine="567"/>
        <w:jc w:val="both"/>
        <w:textAlignment w:val="baseline"/>
        <w:rPr>
          <w:color w:val="000000"/>
          <w:sz w:val="28"/>
          <w:szCs w:val="28"/>
          <w:lang w:val="uk-UA"/>
        </w:rPr>
      </w:pPr>
      <w:r w:rsidRPr="007A6C8D">
        <w:rPr>
          <w:sz w:val="28"/>
          <w:szCs w:val="28"/>
          <w:lang w:val="uk-UA"/>
        </w:rPr>
        <w:t xml:space="preserve">Відповідно до загальних вимог нормотворчої техніки проекти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w:t>
      </w:r>
      <w:proofErr w:type="spellStart"/>
      <w:proofErr w:type="gramStart"/>
      <w:r w:rsidRPr="007A6C8D">
        <w:rPr>
          <w:sz w:val="28"/>
          <w:szCs w:val="28"/>
        </w:rPr>
        <w:t>Законопроект</w:t>
      </w:r>
      <w:proofErr w:type="spellEnd"/>
      <w:r w:rsidRPr="007A6C8D">
        <w:rPr>
          <w:sz w:val="28"/>
          <w:szCs w:val="28"/>
        </w:rPr>
        <w:t xml:space="preserve"> № 2</w:t>
      </w:r>
      <w:r w:rsidRPr="007A6C8D">
        <w:rPr>
          <w:sz w:val="28"/>
          <w:szCs w:val="28"/>
          <w:lang w:val="ru-RU"/>
        </w:rPr>
        <w:t>626</w:t>
      </w:r>
      <w:r w:rsidRPr="007A6C8D">
        <w:rPr>
          <w:sz w:val="28"/>
          <w:szCs w:val="28"/>
        </w:rPr>
        <w:t xml:space="preserve"> узгоджений із принципами і нормами Конституції України та в цілому відповідає вимогам нормотворчої техніки.</w:t>
      </w:r>
      <w:proofErr w:type="gramEnd"/>
    </w:p>
    <w:p w:rsidR="00565FED" w:rsidRPr="00991538" w:rsidRDefault="00565FED" w:rsidP="00565FED">
      <w:pPr>
        <w:spacing w:after="0" w:line="240" w:lineRule="auto"/>
        <w:ind w:firstLine="709"/>
        <w:jc w:val="both"/>
        <w:rPr>
          <w:szCs w:val="28"/>
        </w:rPr>
      </w:pPr>
    </w:p>
    <w:p w:rsidR="00565FED" w:rsidRPr="00991538" w:rsidRDefault="00565FED" w:rsidP="00565FED">
      <w:pPr>
        <w:spacing w:after="0" w:line="240" w:lineRule="auto"/>
        <w:ind w:firstLine="709"/>
        <w:jc w:val="both"/>
        <w:rPr>
          <w:rFonts w:cs="Times New Roman"/>
          <w:b/>
          <w:szCs w:val="28"/>
        </w:rPr>
      </w:pPr>
      <w:r w:rsidRPr="00991538">
        <w:rPr>
          <w:rFonts w:cs="Times New Roman"/>
          <w:b/>
          <w:szCs w:val="28"/>
        </w:rPr>
        <w:t>З огляду на викладене Вища рада правосуддя підтримує законопроект № 2</w:t>
      </w:r>
      <w:r>
        <w:rPr>
          <w:rFonts w:cs="Times New Roman"/>
          <w:b/>
          <w:szCs w:val="28"/>
          <w:lang w:val="ru-RU"/>
        </w:rPr>
        <w:t>626</w:t>
      </w:r>
      <w:r w:rsidRPr="00991538">
        <w:rPr>
          <w:rFonts w:cs="Times New Roman"/>
          <w:b/>
          <w:szCs w:val="28"/>
        </w:rPr>
        <w:t>.</w:t>
      </w:r>
    </w:p>
    <w:p w:rsidR="00565FED" w:rsidRPr="00991538" w:rsidRDefault="00565FED" w:rsidP="00565FED">
      <w:pPr>
        <w:spacing w:after="0" w:line="240" w:lineRule="auto"/>
        <w:ind w:firstLine="709"/>
        <w:jc w:val="both"/>
        <w:rPr>
          <w:rFonts w:cs="Times New Roman"/>
          <w:b/>
          <w:szCs w:val="28"/>
        </w:rPr>
      </w:pPr>
    </w:p>
    <w:p w:rsidR="00367A65" w:rsidRPr="00565FED" w:rsidRDefault="00367A65"/>
    <w:sectPr w:rsidR="00367A65" w:rsidRPr="00565FED"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FED" w:rsidRDefault="00565FED" w:rsidP="00565FED">
      <w:pPr>
        <w:spacing w:after="0" w:line="240" w:lineRule="auto"/>
      </w:pPr>
      <w:r>
        <w:separator/>
      </w:r>
    </w:p>
  </w:endnote>
  <w:endnote w:type="continuationSeparator" w:id="0">
    <w:p w:rsidR="00565FED" w:rsidRDefault="00565FED" w:rsidP="00565F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FED" w:rsidRDefault="00565FED" w:rsidP="00565FED">
      <w:pPr>
        <w:spacing w:after="0" w:line="240" w:lineRule="auto"/>
      </w:pPr>
      <w:r>
        <w:separator/>
      </w:r>
    </w:p>
  </w:footnote>
  <w:footnote w:type="continuationSeparator" w:id="0">
    <w:p w:rsidR="00565FED" w:rsidRDefault="00565FED" w:rsidP="00565FED">
      <w:pPr>
        <w:spacing w:after="0" w:line="240" w:lineRule="auto"/>
      </w:pPr>
      <w:r>
        <w:continuationSeparator/>
      </w:r>
    </w:p>
  </w:footnote>
  <w:footnote w:id="1">
    <w:p w:rsidR="00565FED" w:rsidRPr="005C55F0" w:rsidRDefault="00565FED" w:rsidP="00565FED">
      <w:pPr>
        <w:autoSpaceDE w:val="0"/>
        <w:autoSpaceDN w:val="0"/>
        <w:adjustRightInd w:val="0"/>
        <w:spacing w:after="0" w:line="240" w:lineRule="auto"/>
        <w:jc w:val="both"/>
        <w:rPr>
          <w:rFonts w:cs="Times New Roman"/>
          <w:sz w:val="20"/>
          <w:szCs w:val="20"/>
          <w:lang w:eastAsia="ru-RU"/>
        </w:rPr>
      </w:pPr>
      <w:r w:rsidRPr="005C55F0">
        <w:rPr>
          <w:rStyle w:val="a7"/>
          <w:sz w:val="20"/>
          <w:szCs w:val="20"/>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565FED" w:rsidRPr="005C55F0" w:rsidRDefault="00565FED" w:rsidP="00565FED">
      <w:pPr>
        <w:pStyle w:val="a5"/>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 w:id="2">
    <w:p w:rsidR="00565FED" w:rsidRPr="00DD1CFE" w:rsidRDefault="00565FED" w:rsidP="00565FED">
      <w:pPr>
        <w:pStyle w:val="a5"/>
        <w:jc w:val="both"/>
        <w:rPr>
          <w:rFonts w:cs="Times New Roman"/>
        </w:rPr>
      </w:pPr>
      <w:r>
        <w:rPr>
          <w:rStyle w:val="a7"/>
        </w:rPr>
        <w:footnoteRef/>
      </w:r>
      <w:r>
        <w:t xml:space="preserve">Рішення Конституційного Суду України у справі за конституційним поданням 51 народного депутата України щодо </w:t>
      </w:r>
      <w:r w:rsidRPr="00DD1CFE">
        <w:rPr>
          <w:rFonts w:cs="Times New Roman"/>
        </w:rPr>
        <w:t>відповідності Конституції України (конституційності) положень статті 92, пункту 6</w:t>
      </w:r>
      <w:r>
        <w:rPr>
          <w:rFonts w:cs="Times New Roman"/>
        </w:rPr>
        <w:t xml:space="preserve"> розділу Х </w:t>
      </w:r>
      <w:r>
        <w:rPr>
          <w:rFonts w:cs="Times New Roman"/>
          <w:lang w:val="ru-RU"/>
        </w:rPr>
        <w:t>«</w:t>
      </w:r>
      <w:r>
        <w:rPr>
          <w:rFonts w:cs="Times New Roman"/>
        </w:rPr>
        <w:t>Перехідні положення</w:t>
      </w:r>
      <w:r>
        <w:rPr>
          <w:rFonts w:cs="Times New Roman"/>
          <w:lang w:val="ru-RU"/>
        </w:rPr>
        <w:t>»</w:t>
      </w:r>
      <w:r w:rsidRPr="00DD1CFE">
        <w:rPr>
          <w:rFonts w:cs="Times New Roman"/>
        </w:rPr>
        <w:t xml:space="preserve"> Земельного кодексу України (справа про постійне користування земельними ділянками), м. Київ, </w:t>
      </w:r>
    </w:p>
    <w:p w:rsidR="00565FED" w:rsidRPr="00DD1CFE" w:rsidRDefault="00565FED" w:rsidP="00565FED">
      <w:pPr>
        <w:pStyle w:val="a5"/>
        <w:rPr>
          <w:rFonts w:cs="Times New Roman"/>
        </w:rPr>
      </w:pPr>
      <w:r w:rsidRPr="00DD1CFE">
        <w:rPr>
          <w:rFonts w:cs="Times New Roman"/>
        </w:rPr>
        <w:t>2</w:t>
      </w:r>
      <w:r>
        <w:rPr>
          <w:rFonts w:cs="Times New Roman"/>
        </w:rPr>
        <w:t>2 вересня 2005 року № 5-рп/2005</w:t>
      </w:r>
      <w:r w:rsidRPr="00DD1CFE">
        <w:rPr>
          <w:rFonts w:cs="Times New Roman"/>
        </w:rPr>
        <w:t>. </w:t>
      </w:r>
    </w:p>
  </w:footnote>
  <w:footnote w:id="3">
    <w:p w:rsidR="00565FED" w:rsidRPr="00A26097" w:rsidRDefault="00565FED" w:rsidP="00565FED">
      <w:pPr>
        <w:pStyle w:val="a5"/>
        <w:jc w:val="both"/>
        <w:rPr>
          <w:rFonts w:cs="Times New Roman"/>
          <w:i/>
        </w:rPr>
      </w:pPr>
      <w:r>
        <w:rPr>
          <w:rStyle w:val="a7"/>
        </w:rPr>
        <w:footnoteRef/>
      </w:r>
      <w:r>
        <w:t xml:space="preserve"> </w:t>
      </w:r>
      <w:r>
        <w:t xml:space="preserve">Рішення </w:t>
      </w:r>
      <w:r w:rsidRPr="00A26097">
        <w:t xml:space="preserve">Конституційного </w:t>
      </w:r>
      <w:r w:rsidRPr="00A26097">
        <w:rPr>
          <w:rFonts w:cs="Times New Roman"/>
        </w:rPr>
        <w:t xml:space="preserve">Суду </w:t>
      </w:r>
      <w:r w:rsidRPr="007A6C8D">
        <w:rPr>
          <w:rFonts w:cs="Times New Roman"/>
        </w:rPr>
        <w:t>України</w:t>
      </w:r>
      <w:r w:rsidRPr="007A6C8D">
        <w:rPr>
          <w:rFonts w:cs="Times New Roman"/>
          <w:shd w:val="clear" w:color="auto" w:fill="FCFCFC"/>
        </w:rPr>
        <w:t xml:space="preserve"> </w:t>
      </w:r>
      <w:r w:rsidRPr="007A6C8D">
        <w:rPr>
          <w:rStyle w:val="aa"/>
          <w:rFonts w:cs="Times New Roman"/>
          <w:i w:val="0"/>
          <w:shd w:val="clear" w:color="auto" w:fill="FCFCFC"/>
        </w:rPr>
        <w:t>у справі за конституційним поданням Уповноваженого Верховної Ради України з прав людини щодо відповідності Конституції України (конституційності) абзацу восьмого пункту 5 частини першої статті 11 Закону України «Про міліцію» від 29 червня 2010 року </w:t>
      </w:r>
      <w:hyperlink r:id="rId1" w:tgtFrame="_blank" w:history="1">
        <w:r w:rsidRPr="007A6C8D">
          <w:rPr>
            <w:rStyle w:val="a8"/>
            <w:rFonts w:cs="Times New Roman"/>
            <w:bCs/>
            <w:i/>
            <w:iCs/>
            <w:color w:val="auto"/>
            <w:u w:val="none"/>
          </w:rPr>
          <w:t>№ 17-рп/2010</w:t>
        </w:r>
      </w:hyperlink>
      <w:r>
        <w:rPr>
          <w:rStyle w:val="ab"/>
          <w:rFonts w:cs="Times New Roman"/>
          <w:iCs/>
          <w:shd w:val="clear" w:color="auto" w:fill="FCFCFC"/>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B06B7"/>
    <w:multiLevelType w:val="hybridMultilevel"/>
    <w:tmpl w:val="2E9091C0"/>
    <w:lvl w:ilvl="0" w:tplc="463024FC">
      <w:start w:val="1"/>
      <w:numFmt w:val="decimal"/>
      <w:lvlText w:val="%1."/>
      <w:lvlJc w:val="left"/>
      <w:pPr>
        <w:ind w:left="927" w:hanging="360"/>
      </w:pPr>
      <w:rPr>
        <w:rFonts w:eastAsia="Lucida Sans Unicode"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565FED"/>
    <w:rsid w:val="001A51C5"/>
    <w:rsid w:val="002050B1"/>
    <w:rsid w:val="00367A65"/>
    <w:rsid w:val="00533C23"/>
    <w:rsid w:val="00565FED"/>
    <w:rsid w:val="007A6C8D"/>
    <w:rsid w:val="008263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ED"/>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5FED"/>
    <w:pPr>
      <w:spacing w:after="0" w:line="240" w:lineRule="auto"/>
    </w:pPr>
    <w:rPr>
      <w:rFonts w:eastAsia="Calibri" w:cs="Calibri"/>
    </w:rPr>
  </w:style>
  <w:style w:type="paragraph" w:styleId="a4">
    <w:name w:val="List Paragraph"/>
    <w:basedOn w:val="a"/>
    <w:qFormat/>
    <w:rsid w:val="00565FED"/>
    <w:pPr>
      <w:ind w:left="720"/>
      <w:contextualSpacing/>
    </w:pPr>
  </w:style>
  <w:style w:type="paragraph" w:styleId="a5">
    <w:name w:val="footnote text"/>
    <w:basedOn w:val="a"/>
    <w:link w:val="a6"/>
    <w:uiPriority w:val="99"/>
    <w:rsid w:val="00565FED"/>
    <w:pPr>
      <w:spacing w:after="0" w:line="240" w:lineRule="auto"/>
    </w:pPr>
    <w:rPr>
      <w:sz w:val="20"/>
      <w:szCs w:val="20"/>
    </w:rPr>
  </w:style>
  <w:style w:type="character" w:customStyle="1" w:styleId="a6">
    <w:name w:val="Текст виноски Знак"/>
    <w:basedOn w:val="a0"/>
    <w:link w:val="a5"/>
    <w:uiPriority w:val="99"/>
    <w:rsid w:val="00565FED"/>
    <w:rPr>
      <w:rFonts w:eastAsia="Calibri" w:cs="Calibri"/>
      <w:sz w:val="20"/>
      <w:szCs w:val="20"/>
    </w:rPr>
  </w:style>
  <w:style w:type="character" w:styleId="a7">
    <w:name w:val="footnote reference"/>
    <w:basedOn w:val="a0"/>
    <w:uiPriority w:val="99"/>
    <w:rsid w:val="00565FED"/>
    <w:rPr>
      <w:rFonts w:cs="Times New Roman"/>
      <w:vertAlign w:val="superscript"/>
    </w:rPr>
  </w:style>
  <w:style w:type="character" w:customStyle="1" w:styleId="rvts9">
    <w:name w:val="rvts9"/>
    <w:basedOn w:val="a0"/>
    <w:rsid w:val="00565FED"/>
    <w:rPr>
      <w:rFonts w:cs="Times New Roman"/>
    </w:rPr>
  </w:style>
  <w:style w:type="character" w:customStyle="1" w:styleId="rvts23">
    <w:name w:val="rvts23"/>
    <w:basedOn w:val="a0"/>
    <w:rsid w:val="00565FED"/>
    <w:rPr>
      <w:rFonts w:cs="Times New Roman"/>
    </w:rPr>
  </w:style>
  <w:style w:type="character" w:styleId="a8">
    <w:name w:val="Hyperlink"/>
    <w:basedOn w:val="a0"/>
    <w:uiPriority w:val="99"/>
    <w:unhideWhenUsed/>
    <w:rsid w:val="00565FED"/>
    <w:rPr>
      <w:color w:val="0000FF"/>
      <w:u w:val="single"/>
    </w:rPr>
  </w:style>
  <w:style w:type="paragraph" w:styleId="a9">
    <w:name w:val="Normal (Web)"/>
    <w:basedOn w:val="a"/>
    <w:uiPriority w:val="99"/>
    <w:unhideWhenUsed/>
    <w:rsid w:val="00565FED"/>
    <w:pPr>
      <w:spacing w:before="100" w:beforeAutospacing="1" w:after="100" w:afterAutospacing="1" w:line="240" w:lineRule="auto"/>
    </w:pPr>
    <w:rPr>
      <w:rFonts w:eastAsia="Times New Roman" w:cs="Times New Roman"/>
      <w:sz w:val="24"/>
      <w:szCs w:val="24"/>
      <w:lang w:val="en-US"/>
    </w:rPr>
  </w:style>
  <w:style w:type="character" w:styleId="aa">
    <w:name w:val="Emphasis"/>
    <w:basedOn w:val="a0"/>
    <w:uiPriority w:val="20"/>
    <w:qFormat/>
    <w:rsid w:val="00565FED"/>
    <w:rPr>
      <w:i/>
      <w:iCs/>
    </w:rPr>
  </w:style>
  <w:style w:type="character" w:styleId="ab">
    <w:name w:val="Strong"/>
    <w:basedOn w:val="a0"/>
    <w:uiPriority w:val="22"/>
    <w:qFormat/>
    <w:rsid w:val="00565FE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cu.gov.ua/sites/default/files/ndf/17-rp/2010.doc"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0E2B9E-1C7D-4D0D-9CF2-73EB4FC2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6680</Words>
  <Characters>3809</Characters>
  <Application>Microsoft Office Word</Application>
  <DocSecurity>0</DocSecurity>
  <Lines>31</Lines>
  <Paragraphs>20</Paragraphs>
  <ScaleCrop>false</ScaleCrop>
  <Company>Microsoft</Company>
  <LinksUpToDate>false</LinksUpToDate>
  <CharactersWithSpaces>10469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6</cp:revision>
  <dcterms:created xsi:type="dcterms:W3CDTF">2020-01-15T14:14:00Z</dcterms:created>
  <dcterms:modified xsi:type="dcterms:W3CDTF">2020-01-15T14:37:00Z</dcterms:modified>
</cp:coreProperties>
</file>