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7"/>
        <w:gridCol w:w="222"/>
      </w:tblGrid>
      <w:tr w:rsidR="00156B7A" w:rsidRPr="00814729" w:rsidTr="00211A89">
        <w:tc>
          <w:tcPr>
            <w:tcW w:w="10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7A" w:rsidRDefault="004B4007" w:rsidP="004B4007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</w:t>
            </w:r>
          </w:p>
          <w:p w:rsidR="00156B7A" w:rsidRDefault="00156B7A" w:rsidP="009F16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11A89" w:rsidRPr="00211A89" w:rsidRDefault="00211A89" w:rsidP="00211A89">
            <w:pPr>
              <w:pStyle w:val="aa"/>
              <w:ind w:left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211A89" w:rsidRPr="00211A89" w:rsidRDefault="00211A89" w:rsidP="00211A89">
            <w:pPr>
              <w:pStyle w:val="aa"/>
              <w:ind w:left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211A89" w:rsidRPr="00AF7302" w:rsidRDefault="00211A89" w:rsidP="00211A89">
            <w:pPr>
              <w:spacing w:before="360" w:after="60"/>
              <w:jc w:val="center"/>
              <w:rPr>
                <w:rFonts w:ascii="AcademyC" w:hAnsi="AcademyC"/>
                <w:b/>
                <w:color w:val="002060"/>
              </w:rPr>
            </w:pPr>
            <w:r w:rsidRPr="00A83448">
              <w:rPr>
                <w:rFonts w:ascii="Calibri" w:hAnsi="Calibri"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-568960</wp:posOffset>
                  </wp:positionV>
                  <wp:extent cx="521970" cy="683895"/>
                  <wp:effectExtent l="0" t="0" r="0" b="190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7302">
              <w:rPr>
                <w:rFonts w:ascii="AcademyC" w:hAnsi="AcademyC"/>
                <w:b/>
                <w:color w:val="002060"/>
              </w:rPr>
              <w:t>УКРАЇНА</w:t>
            </w:r>
          </w:p>
          <w:p w:rsidR="00211A89" w:rsidRPr="00AF7302" w:rsidRDefault="00211A89" w:rsidP="00211A89">
            <w:pPr>
              <w:spacing w:after="60"/>
              <w:jc w:val="center"/>
              <w:rPr>
                <w:rFonts w:ascii="AcademyC" w:hAnsi="AcademyC"/>
                <w:b/>
                <w:color w:val="002060"/>
                <w:szCs w:val="28"/>
              </w:rPr>
            </w:pPr>
            <w:r w:rsidRPr="00AF7302">
              <w:rPr>
                <w:rFonts w:ascii="AcademyC" w:hAnsi="AcademyC"/>
                <w:b/>
                <w:color w:val="002060"/>
                <w:szCs w:val="28"/>
              </w:rPr>
              <w:t>ВИЩА  РАДА  ПРАВОСУДДЯ</w:t>
            </w:r>
          </w:p>
          <w:p w:rsidR="00211A89" w:rsidRPr="00AF7302" w:rsidRDefault="00211A89" w:rsidP="00211A89">
            <w:pPr>
              <w:spacing w:after="240"/>
              <w:jc w:val="center"/>
              <w:rPr>
                <w:rFonts w:ascii="AcademyC" w:hAnsi="AcademyC"/>
                <w:b/>
                <w:color w:val="002060"/>
                <w:szCs w:val="28"/>
              </w:rPr>
            </w:pPr>
            <w:r w:rsidRPr="00AF7302">
              <w:rPr>
                <w:rFonts w:ascii="AcademyC" w:hAnsi="AcademyC"/>
                <w:b/>
                <w:color w:val="002060"/>
                <w:szCs w:val="28"/>
              </w:rPr>
              <w:t xml:space="preserve"> РІШЕННЯ</w:t>
            </w:r>
          </w:p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211A89" w:rsidRPr="00AF7302" w:rsidTr="001C3FF2">
              <w:trPr>
                <w:trHeight w:val="188"/>
              </w:trPr>
              <w:tc>
                <w:tcPr>
                  <w:tcW w:w="3098" w:type="dxa"/>
                </w:tcPr>
                <w:p w:rsidR="002342F6" w:rsidRDefault="002342F6" w:rsidP="002342F6">
                  <w:pPr>
                    <w:ind w:right="-2"/>
                    <w:rPr>
                      <w:noProof/>
                      <w:color w:val="002060"/>
                      <w:szCs w:val="28"/>
                    </w:rPr>
                  </w:pPr>
                </w:p>
                <w:p w:rsidR="00211A89" w:rsidRPr="00211A89" w:rsidRDefault="002342F6" w:rsidP="002342F6">
                  <w:pPr>
                    <w:ind w:right="-2"/>
                    <w:rPr>
                      <w:noProof/>
                      <w:color w:val="002060"/>
                      <w:szCs w:val="28"/>
                    </w:rPr>
                  </w:pPr>
                  <w:r w:rsidRPr="002342F6">
                    <w:rPr>
                      <w:noProof/>
                      <w:color w:val="000000" w:themeColor="text1"/>
                      <w:szCs w:val="28"/>
                    </w:rPr>
                    <w:t xml:space="preserve">23 січня </w:t>
                  </w:r>
                  <w:r>
                    <w:rPr>
                      <w:noProof/>
                      <w:color w:val="000000" w:themeColor="text1"/>
                      <w:szCs w:val="28"/>
                    </w:rPr>
                    <w:t xml:space="preserve"> 2020 року</w:t>
                  </w:r>
                </w:p>
              </w:tc>
              <w:tc>
                <w:tcPr>
                  <w:tcW w:w="3309" w:type="dxa"/>
                </w:tcPr>
                <w:p w:rsidR="00211A89" w:rsidRPr="00635BF0" w:rsidRDefault="00211A89" w:rsidP="00211A89">
                  <w:pPr>
                    <w:ind w:right="-2"/>
                    <w:jc w:val="center"/>
                    <w:rPr>
                      <w:rFonts w:ascii="Book Antiqua" w:hAnsi="Book Antiqua"/>
                      <w:noProof/>
                      <w:color w:val="002060"/>
                      <w:sz w:val="20"/>
                      <w:szCs w:val="20"/>
                    </w:rPr>
                  </w:pPr>
                  <w:r w:rsidRPr="00211A89">
                    <w:rPr>
                      <w:rFonts w:ascii="Bookman Old Style" w:hAnsi="Bookman Old Style"/>
                      <w:color w:val="002060"/>
                      <w:sz w:val="20"/>
                      <w:szCs w:val="20"/>
                    </w:rPr>
                    <w:t xml:space="preserve">      </w:t>
                  </w:r>
                  <w:r w:rsidRPr="00635BF0">
                    <w:rPr>
                      <w:rFonts w:ascii="Book Antiqua" w:hAnsi="Book Antiqua"/>
                      <w:color w:val="002060"/>
                      <w:sz w:val="20"/>
                      <w:szCs w:val="20"/>
                    </w:rPr>
                    <w:t>Київ</w:t>
                  </w:r>
                </w:p>
              </w:tc>
              <w:tc>
                <w:tcPr>
                  <w:tcW w:w="3624" w:type="dxa"/>
                </w:tcPr>
                <w:p w:rsidR="002342F6" w:rsidRDefault="002342F6" w:rsidP="00211A89">
                  <w:pPr>
                    <w:ind w:right="-2"/>
                    <w:jc w:val="center"/>
                  </w:pPr>
                </w:p>
                <w:p w:rsidR="00211A89" w:rsidRPr="002342F6" w:rsidRDefault="00211A89" w:rsidP="002342F6">
                  <w:pPr>
                    <w:ind w:right="-2"/>
                    <w:jc w:val="center"/>
                    <w:rPr>
                      <w:noProof/>
                      <w:color w:val="002060"/>
                      <w:szCs w:val="28"/>
                    </w:rPr>
                  </w:pPr>
                  <w:r w:rsidRPr="002342F6">
                    <w:t>№</w:t>
                  </w:r>
                  <w:r w:rsidRPr="002342F6">
                    <w:rPr>
                      <w:noProof/>
                      <w:color w:val="002060"/>
                      <w:szCs w:val="28"/>
                    </w:rPr>
                    <w:t xml:space="preserve"> </w:t>
                  </w:r>
                  <w:r w:rsidR="002342F6" w:rsidRPr="002342F6">
                    <w:rPr>
                      <w:noProof/>
                      <w:color w:val="000000" w:themeColor="text1"/>
                      <w:szCs w:val="28"/>
                    </w:rPr>
                    <w:t>169/0/15</w:t>
                  </w:r>
                  <w:r w:rsidR="002342F6">
                    <w:rPr>
                      <w:noProof/>
                      <w:color w:val="000000" w:themeColor="text1"/>
                      <w:szCs w:val="28"/>
                    </w:rPr>
                    <w:t>-20</w:t>
                  </w:r>
                </w:p>
              </w:tc>
            </w:tr>
          </w:tbl>
          <w:p w:rsidR="00156B7A" w:rsidRDefault="00156B7A" w:rsidP="009F16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56B7A" w:rsidRDefault="004B4007" w:rsidP="004B400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</w:t>
            </w:r>
          </w:p>
          <w:p w:rsidR="00156B7A" w:rsidRDefault="00156B7A" w:rsidP="009F16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56B7A" w:rsidRDefault="00156B7A" w:rsidP="009F165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11A89" w:rsidRDefault="00156B7A" w:rsidP="00211A8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47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організацію проведення оцінки</w:t>
            </w:r>
          </w:p>
          <w:p w:rsidR="00211A89" w:rsidRDefault="00156B7A" w:rsidP="00211A8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корупційних ризиків у діяльності </w:t>
            </w:r>
          </w:p>
          <w:p w:rsidR="00156B7A" w:rsidRPr="00814729" w:rsidRDefault="00156B7A" w:rsidP="00211A8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Вищої</w:t>
            </w:r>
            <w:r w:rsidR="00211A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ради правосуддя</w:t>
            </w:r>
          </w:p>
        </w:tc>
        <w:tc>
          <w:tcPr>
            <w:tcW w:w="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B7A" w:rsidRPr="00814729" w:rsidRDefault="00156B7A" w:rsidP="009F1659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156B7A" w:rsidRDefault="004B4007" w:rsidP="007C0B2B">
      <w:pPr>
        <w:spacing w:line="240" w:lineRule="auto"/>
        <w:ind w:firstLine="709"/>
        <w:jc w:val="center"/>
        <w:rPr>
          <w:szCs w:val="28"/>
        </w:rPr>
      </w:pPr>
      <w:r>
        <w:rPr>
          <w:szCs w:val="28"/>
        </w:rPr>
        <w:t xml:space="preserve">      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Згідно з</w:t>
      </w:r>
      <w:r w:rsidR="00286ADC">
        <w:rPr>
          <w:szCs w:val="28"/>
        </w:rPr>
        <w:t xml:space="preserve">і </w:t>
      </w:r>
      <w:r w:rsidRPr="00D75BA9">
        <w:rPr>
          <w:szCs w:val="28"/>
        </w:rPr>
        <w:t>статт</w:t>
      </w:r>
      <w:r w:rsidR="00286ADC">
        <w:rPr>
          <w:szCs w:val="28"/>
        </w:rPr>
        <w:t>ею</w:t>
      </w:r>
      <w:r w:rsidRPr="00D75BA9">
        <w:rPr>
          <w:szCs w:val="28"/>
        </w:rPr>
        <w:t xml:space="preserve"> 19 Закону України </w:t>
      </w:r>
      <w:r>
        <w:rPr>
          <w:szCs w:val="28"/>
        </w:rPr>
        <w:t>«</w:t>
      </w:r>
      <w:r w:rsidRPr="00B80691">
        <w:rPr>
          <w:szCs w:val="28"/>
        </w:rPr>
        <w:t xml:space="preserve">Про запобігання корупції» </w:t>
      </w:r>
      <w:r>
        <w:rPr>
          <w:szCs w:val="28"/>
        </w:rPr>
        <w:t xml:space="preserve">антикорупційна програма приймається у Вищій раді правосуддя шляхом затвердження її рішенням. </w:t>
      </w:r>
    </w:p>
    <w:p w:rsidR="00156B7A" w:rsidRDefault="00286ADC" w:rsidP="00156B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Процедура</w:t>
      </w:r>
      <w:r w:rsidR="00156B7A">
        <w:rPr>
          <w:sz w:val="28"/>
          <w:szCs w:val="28"/>
        </w:rPr>
        <w:t xml:space="preserve"> підготовки, подання на погодження до Національного агентства з питань запобігання корупції (</w:t>
      </w:r>
      <w:r w:rsidR="00156B7A" w:rsidRPr="00BF7FB7">
        <w:rPr>
          <w:sz w:val="28"/>
          <w:szCs w:val="28"/>
        </w:rPr>
        <w:t>далі – НАЗК</w:t>
      </w:r>
      <w:r w:rsidR="00156B7A">
        <w:rPr>
          <w:sz w:val="28"/>
          <w:szCs w:val="28"/>
        </w:rPr>
        <w:t>) антикорупційних програм міністерств, інших центральних органів виконавчої влади, державних цільових фондів, а також інших державних органів та органів місцевого самоврядування, антикорупційні програми яких відповідно до законодавства підлягають погодженню, та єдиний механізм їх аналізу і погодження НАЗК визнача</w:t>
      </w:r>
      <w:r>
        <w:rPr>
          <w:sz w:val="28"/>
          <w:szCs w:val="28"/>
        </w:rPr>
        <w:t>ються</w:t>
      </w:r>
      <w:r w:rsidR="00156B7A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ком</w:t>
      </w:r>
      <w:r w:rsidR="00156B7A" w:rsidRPr="0033075E">
        <w:rPr>
          <w:sz w:val="28"/>
          <w:szCs w:val="28"/>
        </w:rPr>
        <w:t xml:space="preserve"> </w:t>
      </w:r>
      <w:r w:rsidR="00156B7A">
        <w:rPr>
          <w:sz w:val="28"/>
          <w:szCs w:val="28"/>
        </w:rPr>
        <w:t>підготовки, подання антикорупційних програм на погодження до Національного агентства з питань запобігання корупції та здійснення їх погодження, затверджени</w:t>
      </w:r>
      <w:r>
        <w:rPr>
          <w:sz w:val="28"/>
          <w:szCs w:val="28"/>
        </w:rPr>
        <w:t>м</w:t>
      </w:r>
      <w:r w:rsidR="00156B7A">
        <w:rPr>
          <w:sz w:val="28"/>
          <w:szCs w:val="28"/>
        </w:rPr>
        <w:t xml:space="preserve"> рішенням </w:t>
      </w:r>
      <w:r w:rsidR="00156B7A" w:rsidRPr="00BF7FB7">
        <w:rPr>
          <w:sz w:val="28"/>
          <w:szCs w:val="28"/>
        </w:rPr>
        <w:t>Н</w:t>
      </w:r>
      <w:r w:rsidR="00156B7A">
        <w:rPr>
          <w:sz w:val="28"/>
          <w:szCs w:val="28"/>
        </w:rPr>
        <w:t>АЗК</w:t>
      </w:r>
      <w:r w:rsidR="00156B7A" w:rsidRPr="00BF7FB7">
        <w:rPr>
          <w:sz w:val="28"/>
          <w:szCs w:val="28"/>
        </w:rPr>
        <w:t xml:space="preserve"> </w:t>
      </w:r>
      <w:r w:rsidR="00156B7A">
        <w:rPr>
          <w:sz w:val="28"/>
          <w:szCs w:val="28"/>
        </w:rPr>
        <w:t>від 8 грудня 2017 року № 1379.</w:t>
      </w:r>
    </w:p>
    <w:p w:rsidR="00156B7A" w:rsidRPr="009F6D87" w:rsidRDefault="00156B7A" w:rsidP="00156B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Відповідно </w:t>
      </w:r>
      <w:r w:rsidR="00286AD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до </w:t>
      </w:r>
      <w:r w:rsidR="00286AD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пункту</w:t>
      </w:r>
      <w:r w:rsidR="00286AD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6</w:t>
      </w:r>
      <w:r w:rsidR="00286AD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розділу ІІ </w:t>
      </w:r>
      <w:r w:rsidR="00286ADC">
        <w:rPr>
          <w:color w:val="000000"/>
          <w:sz w:val="28"/>
          <w:szCs w:val="28"/>
          <w:shd w:val="clear" w:color="auto" w:fill="FFFFFF"/>
        </w:rPr>
        <w:t xml:space="preserve">цього </w:t>
      </w:r>
      <w:r>
        <w:rPr>
          <w:color w:val="000000"/>
          <w:sz w:val="28"/>
          <w:szCs w:val="28"/>
          <w:shd w:val="clear" w:color="auto" w:fill="FFFFFF"/>
        </w:rPr>
        <w:t xml:space="preserve">Порядку </w:t>
      </w:r>
      <w:r>
        <w:rPr>
          <w:sz w:val="28"/>
          <w:szCs w:val="28"/>
        </w:rPr>
        <w:t>антикорупційна програма, з-поміж іншого, ма</w:t>
      </w:r>
      <w:r>
        <w:rPr>
          <w:color w:val="000000"/>
          <w:sz w:val="28"/>
          <w:szCs w:val="28"/>
          <w:shd w:val="clear" w:color="auto" w:fill="FFFFFF"/>
        </w:rPr>
        <w:t>є містити інформацію щодо здійснення оцінки корупційних ризиків у діяльності органу влади.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Положеннями розділу ІІ Методології оцінювання корупційних ризиків у діяльності органів влади, затвердженої рішенням </w:t>
      </w:r>
      <w:r w:rsidRPr="00BF7FB7">
        <w:rPr>
          <w:szCs w:val="28"/>
        </w:rPr>
        <w:t>НАЗК</w:t>
      </w:r>
      <w:r>
        <w:rPr>
          <w:szCs w:val="28"/>
        </w:rPr>
        <w:t xml:space="preserve"> від 2 грудня 2016 року № 126</w:t>
      </w:r>
      <w:r w:rsidR="00286ADC">
        <w:rPr>
          <w:szCs w:val="28"/>
        </w:rPr>
        <w:t>,</w:t>
      </w:r>
      <w:r>
        <w:rPr>
          <w:szCs w:val="28"/>
        </w:rPr>
        <w:t xml:space="preserve"> встановлено, зокрема, що суб’єкт затвердження антикорупційної програми приймає рішення про проведення оцінки корупційних ризиків, визначає голову та персональний склад комісії (у разі проведення оцінки корупційних ризиків комісією).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Згідно з пунктом 4 розділу V </w:t>
      </w:r>
      <w:r w:rsidR="00286ADC">
        <w:rPr>
          <w:szCs w:val="28"/>
        </w:rPr>
        <w:t xml:space="preserve">цієї </w:t>
      </w:r>
      <w:r>
        <w:rPr>
          <w:szCs w:val="28"/>
        </w:rPr>
        <w:t xml:space="preserve">Методології звіт за результатами оцінки корупційних ризиків у діяльності органу влади затверджується суб’єктом </w:t>
      </w:r>
      <w:r>
        <w:rPr>
          <w:szCs w:val="28"/>
        </w:rPr>
        <w:lastRenderedPageBreak/>
        <w:t>затвердження антикорупційної програми та включається до антикорупційної програми.</w:t>
      </w:r>
    </w:p>
    <w:p w:rsidR="00156B7A" w:rsidRDefault="00156B7A" w:rsidP="00156B7A">
      <w:pPr>
        <w:pStyle w:val="rvps2"/>
        <w:spacing w:before="0" w:beforeAutospacing="0" w:after="0" w:afterAutospacing="0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Рішенням Вищої ради правосуддя від </w:t>
      </w:r>
      <w:r w:rsidRPr="002750A8">
        <w:rPr>
          <w:noProof/>
          <w:sz w:val="28"/>
          <w:szCs w:val="28"/>
        </w:rPr>
        <w:t>18 травня 2017 року № 1170/0/15-17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утворено комісію з розробки А</w:t>
      </w:r>
      <w:r w:rsidRPr="006729EB">
        <w:rPr>
          <w:sz w:val="28"/>
          <w:szCs w:val="28"/>
        </w:rPr>
        <w:t>нтикорупційн</w:t>
      </w:r>
      <w:r>
        <w:rPr>
          <w:sz w:val="28"/>
          <w:szCs w:val="28"/>
        </w:rPr>
        <w:t>ої</w:t>
      </w:r>
      <w:r w:rsidRPr="006729EB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и</w:t>
      </w:r>
      <w:r w:rsidRPr="006729EB">
        <w:rPr>
          <w:sz w:val="28"/>
          <w:szCs w:val="28"/>
        </w:rPr>
        <w:t xml:space="preserve"> </w:t>
      </w:r>
      <w:r>
        <w:rPr>
          <w:sz w:val="28"/>
          <w:szCs w:val="28"/>
        </w:rPr>
        <w:t>Вищої ради правосуддя.</w:t>
      </w:r>
    </w:p>
    <w:p w:rsidR="00156B7A" w:rsidRPr="00814729" w:rsidRDefault="00156B7A" w:rsidP="00156B7A">
      <w:pPr>
        <w:pStyle w:val="a3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огляду на викладене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Вища рада правосуддя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керуючись статтею 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/>
          <w:sz w:val="28"/>
          <w:szCs w:val="28"/>
          <w:lang w:val="uk-UA"/>
        </w:rPr>
        <w:t>запобігання корупції», статтею</w:t>
      </w:r>
      <w:r w:rsidRPr="00814729">
        <w:rPr>
          <w:rFonts w:ascii="Times New Roman" w:hAnsi="Times New Roman"/>
          <w:sz w:val="28"/>
          <w:szCs w:val="28"/>
          <w:lang w:val="uk-UA"/>
        </w:rPr>
        <w:t xml:space="preserve"> 30 Закону України «Про Вищу раду правосуддя»,</w:t>
      </w:r>
    </w:p>
    <w:p w:rsidR="00156B7A" w:rsidRPr="00814729" w:rsidRDefault="00156B7A" w:rsidP="00156B7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3216" w:rsidRDefault="002F3216" w:rsidP="00156B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6B7A" w:rsidRDefault="00156B7A" w:rsidP="00156B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472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56B7A" w:rsidRPr="00814729" w:rsidRDefault="00156B7A" w:rsidP="00156B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6B7A" w:rsidRDefault="00156B7A" w:rsidP="00181FE3">
      <w:pPr>
        <w:spacing w:line="240" w:lineRule="auto"/>
        <w:jc w:val="both"/>
        <w:rPr>
          <w:szCs w:val="28"/>
        </w:rPr>
      </w:pPr>
      <w:r>
        <w:rPr>
          <w:szCs w:val="28"/>
        </w:rPr>
        <w:t>комісії з розробки А</w:t>
      </w:r>
      <w:r w:rsidRPr="006729EB">
        <w:rPr>
          <w:szCs w:val="28"/>
        </w:rPr>
        <w:t>нтикорупційн</w:t>
      </w:r>
      <w:r>
        <w:rPr>
          <w:szCs w:val="28"/>
        </w:rPr>
        <w:t>ої</w:t>
      </w:r>
      <w:r w:rsidRPr="006729EB">
        <w:rPr>
          <w:szCs w:val="28"/>
        </w:rPr>
        <w:t xml:space="preserve"> програм</w:t>
      </w:r>
      <w:r>
        <w:rPr>
          <w:szCs w:val="28"/>
        </w:rPr>
        <w:t>и</w:t>
      </w:r>
      <w:r w:rsidRPr="006729EB">
        <w:rPr>
          <w:szCs w:val="28"/>
        </w:rPr>
        <w:t xml:space="preserve"> </w:t>
      </w:r>
      <w:r>
        <w:rPr>
          <w:szCs w:val="28"/>
        </w:rPr>
        <w:t>Вищої ради правосуддя: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провести оцінку корупційних ризиків у діяльності Вищої ради правосуддя та подати на затвердження Вищої ради правосуддя звіт за результатами такої оцінки;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підготувати проект Антикорупційної програми Вищої ради правосуддя та оприлюднити його на офіційному веб-сайті Вищої ради правосуддя; 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подати Вищій раді</w:t>
      </w:r>
      <w:r w:rsidR="00AF370E">
        <w:rPr>
          <w:szCs w:val="28"/>
        </w:rPr>
        <w:t xml:space="preserve"> правосуддя </w:t>
      </w:r>
      <w:r>
        <w:rPr>
          <w:szCs w:val="28"/>
        </w:rPr>
        <w:t>проект Антикорупційної програми Вищої ради правосуддя для затвердження до</w:t>
      </w:r>
      <w:r w:rsidR="00286ADC">
        <w:rPr>
          <w:szCs w:val="28"/>
        </w:rPr>
        <w:t xml:space="preserve"> 25</w:t>
      </w:r>
      <w:r w:rsidR="006A7329">
        <w:rPr>
          <w:szCs w:val="28"/>
        </w:rPr>
        <w:t xml:space="preserve"> </w:t>
      </w:r>
      <w:r>
        <w:rPr>
          <w:szCs w:val="28"/>
        </w:rPr>
        <w:t>лютого 20</w:t>
      </w:r>
      <w:r w:rsidR="006A7329">
        <w:rPr>
          <w:szCs w:val="28"/>
        </w:rPr>
        <w:t>20</w:t>
      </w:r>
      <w:r>
        <w:rPr>
          <w:szCs w:val="28"/>
        </w:rPr>
        <w:t xml:space="preserve"> року.</w:t>
      </w: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</w:p>
    <w:p w:rsidR="00156B7A" w:rsidRDefault="00156B7A" w:rsidP="00156B7A">
      <w:pPr>
        <w:spacing w:line="240" w:lineRule="auto"/>
        <w:ind w:firstLine="709"/>
        <w:jc w:val="both"/>
        <w:rPr>
          <w:szCs w:val="28"/>
        </w:rPr>
      </w:pPr>
    </w:p>
    <w:p w:rsidR="0088695D" w:rsidRDefault="00156B7A" w:rsidP="00156B7A">
      <w:pPr>
        <w:rPr>
          <w:b/>
          <w:szCs w:val="28"/>
        </w:rPr>
      </w:pPr>
      <w:r w:rsidRPr="00366068">
        <w:rPr>
          <w:b/>
          <w:szCs w:val="28"/>
        </w:rPr>
        <w:t>Голова Вищої ради правосуддя</w:t>
      </w:r>
      <w:r w:rsidRPr="00366068">
        <w:rPr>
          <w:b/>
          <w:szCs w:val="28"/>
        </w:rPr>
        <w:tab/>
      </w:r>
      <w:r w:rsidRPr="00366068">
        <w:rPr>
          <w:b/>
          <w:szCs w:val="28"/>
        </w:rPr>
        <w:tab/>
      </w:r>
      <w:r w:rsidR="006A7329">
        <w:rPr>
          <w:b/>
          <w:szCs w:val="28"/>
        </w:rPr>
        <w:t xml:space="preserve">                                         А.А. Овсієнко</w:t>
      </w: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4660DC" w:rsidRDefault="004660DC" w:rsidP="00156B7A">
      <w:pPr>
        <w:rPr>
          <w:b/>
          <w:szCs w:val="28"/>
        </w:rPr>
      </w:pPr>
    </w:p>
    <w:p w:rsidR="004660DC" w:rsidRDefault="004660DC" w:rsidP="00156B7A">
      <w:pPr>
        <w:rPr>
          <w:b/>
          <w:szCs w:val="28"/>
        </w:rPr>
      </w:pPr>
    </w:p>
    <w:p w:rsidR="004660DC" w:rsidRDefault="004660DC" w:rsidP="00156B7A">
      <w:pPr>
        <w:rPr>
          <w:b/>
          <w:szCs w:val="28"/>
        </w:rPr>
      </w:pPr>
    </w:p>
    <w:p w:rsidR="004660DC" w:rsidRDefault="004660DC" w:rsidP="00156B7A">
      <w:pPr>
        <w:rPr>
          <w:b/>
          <w:szCs w:val="28"/>
        </w:rPr>
      </w:pPr>
    </w:p>
    <w:p w:rsidR="0088695D" w:rsidRDefault="0088695D" w:rsidP="00156B7A">
      <w:pPr>
        <w:rPr>
          <w:b/>
          <w:szCs w:val="28"/>
        </w:rPr>
      </w:pPr>
    </w:p>
    <w:p w:rsidR="00F51F51" w:rsidRPr="0088695D" w:rsidRDefault="00F51F51" w:rsidP="00156B7A"/>
    <w:sectPr w:rsidR="00F51F51" w:rsidRPr="0088695D" w:rsidSect="0088695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04" w:rsidRDefault="00064404" w:rsidP="0088695D">
      <w:pPr>
        <w:spacing w:line="240" w:lineRule="auto"/>
      </w:pPr>
      <w:r>
        <w:separator/>
      </w:r>
    </w:p>
  </w:endnote>
  <w:endnote w:type="continuationSeparator" w:id="0">
    <w:p w:rsidR="00064404" w:rsidRDefault="00064404" w:rsidP="00886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04" w:rsidRDefault="00064404" w:rsidP="0088695D">
      <w:pPr>
        <w:spacing w:line="240" w:lineRule="auto"/>
      </w:pPr>
      <w:r>
        <w:separator/>
      </w:r>
    </w:p>
  </w:footnote>
  <w:footnote w:type="continuationSeparator" w:id="0">
    <w:p w:rsidR="00064404" w:rsidRDefault="00064404" w:rsidP="00886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897897"/>
      <w:docPartObj>
        <w:docPartGallery w:val="Page Numbers (Top of Page)"/>
        <w:docPartUnique/>
      </w:docPartObj>
    </w:sdtPr>
    <w:sdtEndPr/>
    <w:sdtContent>
      <w:p w:rsidR="0088695D" w:rsidRDefault="008869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46F">
          <w:rPr>
            <w:noProof/>
          </w:rPr>
          <w:t>3</w:t>
        </w:r>
        <w:r>
          <w:fldChar w:fldCharType="end"/>
        </w:r>
      </w:p>
    </w:sdtContent>
  </w:sdt>
  <w:p w:rsidR="0088695D" w:rsidRDefault="008869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7A"/>
    <w:rsid w:val="00064404"/>
    <w:rsid w:val="00156B7A"/>
    <w:rsid w:val="00181FE3"/>
    <w:rsid w:val="00211A89"/>
    <w:rsid w:val="00232E58"/>
    <w:rsid w:val="002342F6"/>
    <w:rsid w:val="00286ADC"/>
    <w:rsid w:val="002F3216"/>
    <w:rsid w:val="004061BF"/>
    <w:rsid w:val="004660DC"/>
    <w:rsid w:val="004A246F"/>
    <w:rsid w:val="004B4007"/>
    <w:rsid w:val="00627206"/>
    <w:rsid w:val="006A7329"/>
    <w:rsid w:val="007738A3"/>
    <w:rsid w:val="007C0B2B"/>
    <w:rsid w:val="0088695D"/>
    <w:rsid w:val="009F464F"/>
    <w:rsid w:val="00A64C95"/>
    <w:rsid w:val="00AF370E"/>
    <w:rsid w:val="00CD2284"/>
    <w:rsid w:val="00E75B6A"/>
    <w:rsid w:val="00F51F51"/>
    <w:rsid w:val="00F8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3EA0"/>
  <w15:chartTrackingRefBased/>
  <w15:docId w15:val="{6BF2C73C-45AA-4320-9170-2E61656C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B7A"/>
    <w:pPr>
      <w:spacing w:after="0" w:line="360" w:lineRule="auto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56B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3">
    <w:name w:val="No Spacing"/>
    <w:rsid w:val="00156B7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B40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4007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695D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8695D"/>
    <w:rPr>
      <w:rFonts w:eastAsia="Calibri" w:cs="Times New Roman"/>
    </w:rPr>
  </w:style>
  <w:style w:type="paragraph" w:styleId="a8">
    <w:name w:val="footer"/>
    <w:basedOn w:val="a"/>
    <w:link w:val="a9"/>
    <w:uiPriority w:val="99"/>
    <w:unhideWhenUsed/>
    <w:rsid w:val="0088695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8695D"/>
    <w:rPr>
      <w:rFonts w:eastAsia="Calibri" w:cs="Times New Roman"/>
    </w:rPr>
  </w:style>
  <w:style w:type="paragraph" w:styleId="aa">
    <w:name w:val="List Paragraph"/>
    <w:aliases w:val="Подглава"/>
    <w:basedOn w:val="a"/>
    <w:link w:val="ab"/>
    <w:uiPriority w:val="34"/>
    <w:qFormat/>
    <w:rsid w:val="00211A89"/>
    <w:pPr>
      <w:spacing w:after="200" w:line="276" w:lineRule="auto"/>
      <w:ind w:left="720"/>
      <w:contextualSpacing/>
    </w:pPr>
    <w:rPr>
      <w:sz w:val="24"/>
      <w:lang w:val="ru-RU"/>
    </w:rPr>
  </w:style>
  <w:style w:type="character" w:customStyle="1" w:styleId="ab">
    <w:name w:val="Абзац списку Знак"/>
    <w:aliases w:val="Подглава Знак"/>
    <w:basedOn w:val="a0"/>
    <w:link w:val="aa"/>
    <w:uiPriority w:val="34"/>
    <w:rsid w:val="00211A89"/>
    <w:rPr>
      <w:rFonts w:eastAsia="Calibri" w:cs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Мітюхіна (HCJ-MONO0609 - v.mituhina)</dc:creator>
  <cp:keywords/>
  <dc:description/>
  <cp:lastModifiedBy>Вікторія Мітюхіна (HCJ-MONO0609 - v.mituhina)</cp:lastModifiedBy>
  <cp:revision>2</cp:revision>
  <cp:lastPrinted>2020-01-23T12:37:00Z</cp:lastPrinted>
  <dcterms:created xsi:type="dcterms:W3CDTF">2020-01-24T13:08:00Z</dcterms:created>
  <dcterms:modified xsi:type="dcterms:W3CDTF">2020-01-24T13:08:00Z</dcterms:modified>
</cp:coreProperties>
</file>