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49" w:rsidRDefault="00214649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D60BD0" w:rsidRPr="00D31C10" w:rsidRDefault="00D60BD0" w:rsidP="00214649">
      <w:pPr>
        <w:pStyle w:val="a6"/>
        <w:ind w:left="0"/>
        <w:jc w:val="both"/>
        <w:rPr>
          <w:sz w:val="28"/>
          <w:szCs w:val="28"/>
          <w:lang w:val="uk-UA"/>
        </w:rPr>
      </w:pPr>
    </w:p>
    <w:p w:rsidR="00214649" w:rsidRPr="00920881" w:rsidRDefault="00214649" w:rsidP="00214649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A83448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214649" w:rsidRPr="00920881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214649" w:rsidRPr="009F044A" w:rsidRDefault="00214649" w:rsidP="00214649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14649" w:rsidRPr="00920881" w:rsidRDefault="00214649" w:rsidP="00214649">
      <w:pPr>
        <w:pStyle w:val="a6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173" w:type="dxa"/>
        <w:tblInd w:w="-142" w:type="dxa"/>
        <w:tblLook w:val="04A0"/>
      </w:tblPr>
      <w:tblGrid>
        <w:gridCol w:w="142"/>
        <w:gridCol w:w="3098"/>
        <w:gridCol w:w="1844"/>
        <w:gridCol w:w="1465"/>
        <w:gridCol w:w="3624"/>
      </w:tblGrid>
      <w:tr w:rsidR="00214649" w:rsidRPr="00635BF0" w:rsidTr="003A796C">
        <w:trPr>
          <w:gridBefore w:val="1"/>
          <w:wBefore w:w="142" w:type="dxa"/>
          <w:trHeight w:val="188"/>
        </w:trPr>
        <w:tc>
          <w:tcPr>
            <w:tcW w:w="3098" w:type="dxa"/>
          </w:tcPr>
          <w:p w:rsidR="00214649" w:rsidRPr="00BE5E21" w:rsidRDefault="003F684D" w:rsidP="003A796C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29 січня </w:t>
            </w:r>
            <w:r w:rsidR="001F73CC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2020 року</w:t>
            </w:r>
          </w:p>
        </w:tc>
        <w:tc>
          <w:tcPr>
            <w:tcW w:w="3309" w:type="dxa"/>
            <w:gridSpan w:val="2"/>
          </w:tcPr>
          <w:p w:rsidR="00214649" w:rsidRPr="00B15DB8" w:rsidRDefault="00214649" w:rsidP="003A796C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214649" w:rsidRPr="009F044A" w:rsidRDefault="00214649" w:rsidP="003A796C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5841F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246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3</w:t>
            </w:r>
            <w:r w:rsidRPr="009F044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дп/15-</w:t>
            </w:r>
            <w:r w:rsidR="001A0CDE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20</w:t>
            </w:r>
          </w:p>
        </w:tc>
      </w:tr>
      <w:tr w:rsidR="00214649" w:rsidRPr="00542120" w:rsidTr="003A79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2"/>
          <w:wAfter w:w="5089" w:type="dxa"/>
          <w:trHeight w:val="1236"/>
        </w:trPr>
        <w:tc>
          <w:tcPr>
            <w:tcW w:w="5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4649" w:rsidRDefault="00214649" w:rsidP="003A796C">
            <w:pPr>
              <w:spacing w:after="0" w:line="240" w:lineRule="auto"/>
              <w:ind w:right="43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14649" w:rsidRPr="00542120" w:rsidRDefault="00214649" w:rsidP="00025D99">
            <w:pPr>
              <w:spacing w:after="0" w:line="240" w:lineRule="auto"/>
              <w:ind w:right="57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shd w:val="clear" w:color="auto" w:fill="FFFFFF"/>
                <w:lang w:eastAsia="uk-UA"/>
              </w:rPr>
            </w:pP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 залишення без розгляду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 повернення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дисциплінарн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ої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адвоката </w:t>
            </w:r>
            <w:proofErr w:type="spellStart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Сафонова</w:t>
            </w:r>
            <w:proofErr w:type="spellEnd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О.А.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стосовно </w:t>
            </w:r>
            <w:r w:rsidRPr="00203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Стрийського</w:t>
            </w:r>
            <w:proofErr w:type="spellEnd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міськрайонного</w:t>
            </w:r>
            <w:proofErr w:type="spellEnd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суду Львівської області                  </w:t>
            </w:r>
            <w:proofErr w:type="spellStart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Бораковського</w:t>
            </w:r>
            <w:proofErr w:type="spellEnd"/>
            <w:r w:rsidR="00025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В.М.</w:t>
            </w:r>
          </w:p>
        </w:tc>
      </w:tr>
    </w:tbl>
    <w:p w:rsidR="00214649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649" w:rsidRPr="00214649" w:rsidRDefault="00214649" w:rsidP="00FA0F5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03477">
        <w:rPr>
          <w:rFonts w:ascii="Times New Roman" w:hAnsi="Times New Roman"/>
          <w:sz w:val="28"/>
          <w:szCs w:val="28"/>
        </w:rPr>
        <w:t>Третя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Г</w:t>
      </w:r>
      <w:r w:rsidR="001A0CD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ворухи В.І.</w:t>
      </w:r>
      <w:r w:rsidRPr="006166C9">
        <w:rPr>
          <w:rFonts w:ascii="Times New Roman" w:hAnsi="Times New Roman"/>
          <w:sz w:val="28"/>
          <w:szCs w:val="28"/>
        </w:rPr>
        <w:t>, членів</w:t>
      </w:r>
      <w:r w:rsidRPr="006166C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66C9">
        <w:rPr>
          <w:rFonts w:ascii="Times New Roman" w:hAnsi="Times New Roman"/>
          <w:bCs/>
          <w:sz w:val="28"/>
          <w:szCs w:val="28"/>
          <w:lang w:eastAsia="ru-RU"/>
        </w:rPr>
        <w:t>Гречківського</w:t>
      </w:r>
      <w:proofErr w:type="spellEnd"/>
      <w:r w:rsidRPr="006166C9">
        <w:rPr>
          <w:rFonts w:ascii="Times New Roman" w:hAnsi="Times New Roman"/>
          <w:bCs/>
          <w:sz w:val="28"/>
          <w:szCs w:val="28"/>
          <w:lang w:eastAsia="ru-RU"/>
        </w:rPr>
        <w:t xml:space="preserve"> П.М.,</w:t>
      </w:r>
      <w:r w:rsidRPr="006166C9">
        <w:rPr>
          <w:rFonts w:ascii="Times New Roman" w:hAnsi="Times New Roman"/>
          <w:sz w:val="28"/>
          <w:szCs w:val="28"/>
        </w:rPr>
        <w:t xml:space="preserve"> Іванової</w:t>
      </w:r>
      <w:r>
        <w:rPr>
          <w:rFonts w:ascii="Times New Roman" w:hAnsi="Times New Roman"/>
          <w:sz w:val="28"/>
          <w:szCs w:val="28"/>
        </w:rPr>
        <w:t xml:space="preserve"> Л.Б., Матвійчука В.В., </w:t>
      </w:r>
      <w:r w:rsidRPr="00BE7D42">
        <w:rPr>
          <w:rFonts w:ascii="Times New Roman" w:hAnsi="Times New Roman"/>
          <w:sz w:val="28"/>
          <w:szCs w:val="28"/>
        </w:rPr>
        <w:t>розглянувши висновок доповідача – члена Третьої Дисциплінарн</w:t>
      </w:r>
      <w:r>
        <w:rPr>
          <w:rFonts w:ascii="Times New Roman" w:hAnsi="Times New Roman"/>
          <w:sz w:val="28"/>
          <w:szCs w:val="28"/>
        </w:rPr>
        <w:t xml:space="preserve">ої палати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Швецової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Л.А. </w:t>
      </w:r>
      <w:r w:rsidRPr="00BE7D42">
        <w:rPr>
          <w:rFonts w:ascii="Times New Roman" w:hAnsi="Times New Roman"/>
          <w:sz w:val="28"/>
          <w:szCs w:val="28"/>
        </w:rPr>
        <w:t>та додані до нього матеріали попередньої перевірки дисциплінарної скарги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25D99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025D99">
        <w:rPr>
          <w:rFonts w:ascii="Times New Roman" w:hAnsi="Times New Roman"/>
          <w:sz w:val="28"/>
          <w:szCs w:val="28"/>
        </w:rPr>
        <w:t>Сафонова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Олексія Анатолійовича </w:t>
      </w:r>
      <w:r>
        <w:rPr>
          <w:rFonts w:ascii="Times New Roman" w:hAnsi="Times New Roman"/>
          <w:sz w:val="28"/>
          <w:szCs w:val="28"/>
        </w:rPr>
        <w:t xml:space="preserve">стосовно </w:t>
      </w:r>
      <w:r w:rsidRPr="00214649">
        <w:rPr>
          <w:rFonts w:ascii="Times New Roman" w:hAnsi="Times New Roman"/>
          <w:sz w:val="28"/>
          <w:szCs w:val="28"/>
        </w:rPr>
        <w:t>судді</w:t>
      </w:r>
      <w:r w:rsidR="00025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D99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D99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суду Львівської області </w:t>
      </w:r>
      <w:proofErr w:type="spellStart"/>
      <w:r w:rsidR="00025D99">
        <w:rPr>
          <w:rFonts w:ascii="Times New Roman" w:hAnsi="Times New Roman"/>
          <w:sz w:val="28"/>
          <w:szCs w:val="28"/>
        </w:rPr>
        <w:t>Бораковського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Василя Мироновича</w:t>
      </w:r>
      <w:r>
        <w:rPr>
          <w:rFonts w:ascii="Times New Roman" w:hAnsi="Times New Roman"/>
          <w:sz w:val="28"/>
          <w:szCs w:val="28"/>
        </w:rPr>
        <w:t>,</w:t>
      </w:r>
    </w:p>
    <w:p w:rsidR="00214649" w:rsidRPr="00FA0F5A" w:rsidRDefault="00214649" w:rsidP="00214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14649" w:rsidRDefault="00214649" w:rsidP="0021464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025D99" w:rsidRPr="0090743A" w:rsidRDefault="00025D99" w:rsidP="00025D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Вищої ради правосуддя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 грудня 2019</w:t>
      </w:r>
      <w:r w:rsidRPr="00D56B3D">
        <w:rPr>
          <w:rFonts w:ascii="Times New Roman" w:hAnsi="Times New Roman"/>
          <w:sz w:val="28"/>
          <w:szCs w:val="28"/>
        </w:rPr>
        <w:t xml:space="preserve"> року за вхідним </w:t>
      </w:r>
      <w:r>
        <w:rPr>
          <w:rFonts w:ascii="Times New Roman" w:hAnsi="Times New Roman"/>
          <w:sz w:val="28"/>
          <w:szCs w:val="28"/>
        </w:rPr>
        <w:br/>
        <w:t xml:space="preserve">№ С-6894/0/7-19 </w:t>
      </w:r>
      <w:r w:rsidRPr="00D56B3D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D5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дисциплінарна </w:t>
      </w:r>
      <w:r w:rsidRPr="00D56B3D">
        <w:rPr>
          <w:rFonts w:ascii="Times New Roman" w:hAnsi="Times New Roman"/>
          <w:sz w:val="28"/>
          <w:szCs w:val="28"/>
        </w:rPr>
        <w:t>скарг</w:t>
      </w:r>
      <w:r>
        <w:rPr>
          <w:rFonts w:ascii="Times New Roman" w:hAnsi="Times New Roman"/>
          <w:sz w:val="28"/>
          <w:szCs w:val="28"/>
        </w:rPr>
        <w:t xml:space="preserve">а адвоката </w:t>
      </w:r>
      <w:proofErr w:type="spellStart"/>
      <w:r>
        <w:rPr>
          <w:rFonts w:ascii="Times New Roman" w:hAnsi="Times New Roman"/>
          <w:sz w:val="28"/>
          <w:szCs w:val="28"/>
        </w:rPr>
        <w:t>Сафонова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 на дії судді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Львівської області </w:t>
      </w:r>
      <w:r w:rsidR="001A0CDE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Бораковського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В.М. під час розгляду справи № 456/36</w:t>
      </w:r>
      <w:r w:rsidR="005841FA">
        <w:rPr>
          <w:rFonts w:ascii="Times New Roman" w:hAnsi="Times New Roman"/>
          <w:sz w:val="28"/>
          <w:szCs w:val="28"/>
        </w:rPr>
        <w:t>46/18 за позовом Особа_1 до Особа_2, Особа_3</w:t>
      </w:r>
      <w:r>
        <w:rPr>
          <w:rFonts w:ascii="Times New Roman" w:hAnsi="Times New Roman"/>
          <w:sz w:val="28"/>
          <w:szCs w:val="28"/>
        </w:rPr>
        <w:t xml:space="preserve"> про визнання недійсним договору позики.</w:t>
      </w:r>
    </w:p>
    <w:p w:rsidR="00025D99" w:rsidRPr="00E34B55" w:rsidRDefault="00025D99" w:rsidP="00025D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своїй дисциплінарній скарзі адвокат </w:t>
      </w:r>
      <w:proofErr w:type="spellStart"/>
      <w:r>
        <w:rPr>
          <w:rFonts w:ascii="Times New Roman" w:hAnsi="Times New Roman"/>
          <w:sz w:val="28"/>
          <w:szCs w:val="28"/>
        </w:rPr>
        <w:t>Сафонов</w:t>
      </w:r>
      <w:proofErr w:type="spellEnd"/>
      <w:r>
        <w:rPr>
          <w:rFonts w:ascii="Times New Roman" w:hAnsi="Times New Roman"/>
          <w:sz w:val="28"/>
          <w:szCs w:val="28"/>
        </w:rPr>
        <w:t xml:space="preserve"> О.А. зазначив, що рішення від 4 жовтня 2019 року ухвалене суддею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Львівської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Бораковським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В.М. з порушенням норм матеріального та процесуального права.  </w:t>
      </w:r>
    </w:p>
    <w:p w:rsidR="00025D99" w:rsidRPr="00DD473B" w:rsidRDefault="00025D99" w:rsidP="00025D99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57170">
        <w:rPr>
          <w:rFonts w:ascii="Times New Roman" w:hAnsi="Times New Roman"/>
          <w:sz w:val="28"/>
          <w:szCs w:val="28"/>
        </w:rPr>
        <w:t>У зв'язку з цим</w:t>
      </w:r>
      <w:r>
        <w:rPr>
          <w:rFonts w:ascii="Times New Roman" w:hAnsi="Times New Roman"/>
          <w:sz w:val="28"/>
          <w:szCs w:val="28"/>
        </w:rPr>
        <w:t xml:space="preserve"> адвокат </w:t>
      </w:r>
      <w:proofErr w:type="spellStart"/>
      <w:r>
        <w:rPr>
          <w:rFonts w:ascii="Times New Roman" w:hAnsi="Times New Roman"/>
          <w:sz w:val="28"/>
          <w:szCs w:val="28"/>
        </w:rPr>
        <w:t>Сафонов</w:t>
      </w:r>
      <w:proofErr w:type="spellEnd"/>
      <w:r>
        <w:rPr>
          <w:rFonts w:ascii="Times New Roman" w:hAnsi="Times New Roman"/>
          <w:sz w:val="28"/>
          <w:szCs w:val="28"/>
        </w:rPr>
        <w:t xml:space="preserve"> О.А. </w:t>
      </w:r>
      <w:r w:rsidRPr="00D57170">
        <w:rPr>
          <w:rFonts w:ascii="Times New Roman" w:hAnsi="Times New Roman"/>
          <w:sz w:val="28"/>
          <w:szCs w:val="28"/>
        </w:rPr>
        <w:t>просить притягнути суддю</w:t>
      </w:r>
      <w:r w:rsidRPr="00FE187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Львівської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Бораковського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В.М. </w:t>
      </w:r>
      <w:r w:rsidRPr="00D57170">
        <w:rPr>
          <w:rFonts w:ascii="Times New Roman" w:hAnsi="Times New Roman"/>
          <w:sz w:val="28"/>
          <w:szCs w:val="28"/>
        </w:rPr>
        <w:t xml:space="preserve">до дисциплінарної відповідальності. </w:t>
      </w:r>
    </w:p>
    <w:p w:rsidR="00025D99" w:rsidRDefault="00025D99" w:rsidP="00025D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7942BA">
        <w:rPr>
          <w:rFonts w:ascii="Times New Roman" w:hAnsi="Times New Roman"/>
          <w:sz w:val="28"/>
          <w:szCs w:val="28"/>
        </w:rPr>
        <w:t>Відповідно до протокол</w:t>
      </w:r>
      <w:r>
        <w:rPr>
          <w:rFonts w:ascii="Times New Roman" w:hAnsi="Times New Roman"/>
          <w:sz w:val="28"/>
          <w:szCs w:val="28"/>
        </w:rPr>
        <w:t>у</w:t>
      </w:r>
      <w:r w:rsidRPr="007942BA">
        <w:rPr>
          <w:rFonts w:ascii="Times New Roman" w:hAnsi="Times New Roman"/>
          <w:sz w:val="28"/>
          <w:szCs w:val="28"/>
        </w:rPr>
        <w:t xml:space="preserve"> автом</w:t>
      </w:r>
      <w:r>
        <w:rPr>
          <w:rFonts w:ascii="Times New Roman" w:hAnsi="Times New Roman"/>
          <w:sz w:val="28"/>
          <w:szCs w:val="28"/>
        </w:rPr>
        <w:t>атизованого розподілу справи</w:t>
      </w:r>
      <w:r w:rsidRPr="007942BA">
        <w:rPr>
          <w:rFonts w:ascii="Times New Roman" w:hAnsi="Times New Roman"/>
          <w:sz w:val="28"/>
          <w:szCs w:val="28"/>
        </w:rPr>
        <w:t xml:space="preserve"> між членами Вищої ради правосуддя</w:t>
      </w:r>
      <w:r>
        <w:rPr>
          <w:rFonts w:ascii="Times New Roman" w:hAnsi="Times New Roman"/>
          <w:sz w:val="28"/>
          <w:szCs w:val="28"/>
        </w:rPr>
        <w:t xml:space="preserve"> від 23 грудня 2019 року за </w:t>
      </w:r>
      <w:r>
        <w:rPr>
          <w:rFonts w:ascii="Times New Roman" w:hAnsi="Times New Roman"/>
          <w:sz w:val="28"/>
          <w:szCs w:val="28"/>
        </w:rPr>
        <w:br/>
        <w:t>№</w:t>
      </w:r>
      <w:r w:rsidRPr="00BE51D5">
        <w:t xml:space="preserve"> </w:t>
      </w:r>
      <w:r>
        <w:rPr>
          <w:rFonts w:ascii="Times New Roman" w:hAnsi="Times New Roman"/>
          <w:sz w:val="28"/>
          <w:szCs w:val="28"/>
        </w:rPr>
        <w:t xml:space="preserve">С-6894/0/7-19 </w:t>
      </w:r>
      <w:r w:rsidRPr="007942BA">
        <w:rPr>
          <w:rFonts w:ascii="Times New Roman" w:hAnsi="Times New Roman"/>
          <w:sz w:val="28"/>
          <w:szCs w:val="28"/>
        </w:rPr>
        <w:t>зазначен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скарг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передан</w:t>
      </w:r>
      <w:r>
        <w:rPr>
          <w:rFonts w:ascii="Times New Roman" w:hAnsi="Times New Roman"/>
          <w:sz w:val="28"/>
          <w:szCs w:val="28"/>
        </w:rPr>
        <w:t>а</w:t>
      </w:r>
      <w:r w:rsidRPr="007942BA">
        <w:rPr>
          <w:rFonts w:ascii="Times New Roman" w:hAnsi="Times New Roman"/>
          <w:sz w:val="28"/>
          <w:szCs w:val="28"/>
        </w:rPr>
        <w:t xml:space="preserve"> для розгляду </w:t>
      </w:r>
      <w:r w:rsidRPr="00017ED4">
        <w:rPr>
          <w:rFonts w:ascii="Times New Roman" w:hAnsi="Times New Roman"/>
          <w:sz w:val="28"/>
          <w:szCs w:val="28"/>
        </w:rPr>
        <w:t>член</w:t>
      </w:r>
      <w:r>
        <w:rPr>
          <w:rFonts w:ascii="Times New Roman" w:hAnsi="Times New Roman"/>
          <w:sz w:val="28"/>
          <w:szCs w:val="28"/>
        </w:rPr>
        <w:t>у</w:t>
      </w:r>
      <w:r w:rsidRPr="00017ED4">
        <w:rPr>
          <w:rFonts w:ascii="Times New Roman" w:hAnsi="Times New Roman"/>
          <w:sz w:val="28"/>
          <w:szCs w:val="28"/>
        </w:rPr>
        <w:t xml:space="preserve">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Швецовій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  <w:r w:rsidRPr="007942BA">
        <w:rPr>
          <w:rFonts w:ascii="Times New Roman" w:hAnsi="Times New Roman"/>
          <w:sz w:val="28"/>
          <w:szCs w:val="28"/>
        </w:rPr>
        <w:t xml:space="preserve"> </w:t>
      </w:r>
    </w:p>
    <w:p w:rsidR="00214649" w:rsidRPr="00FA0F5A" w:rsidRDefault="00214649" w:rsidP="00214649">
      <w:pPr>
        <w:pStyle w:val="Style98"/>
        <w:widowControl/>
        <w:spacing w:line="240" w:lineRule="auto"/>
        <w:ind w:firstLine="709"/>
        <w:rPr>
          <w:color w:val="000000"/>
          <w:sz w:val="20"/>
          <w:szCs w:val="20"/>
        </w:rPr>
      </w:pPr>
    </w:p>
    <w:p w:rsidR="00214649" w:rsidRPr="005E3632" w:rsidRDefault="00214649" w:rsidP="00214649">
      <w:pPr>
        <w:pStyle w:val="Style98"/>
        <w:widowControl/>
        <w:spacing w:line="240" w:lineRule="auto"/>
        <w:ind w:firstLine="709"/>
        <w:rPr>
          <w:color w:val="000000"/>
        </w:rPr>
      </w:pPr>
      <w:r w:rsidRPr="005E3632">
        <w:rPr>
          <w:color w:val="000000"/>
        </w:rPr>
        <w:lastRenderedPageBreak/>
        <w:t>За результатами попередньої перевірки дисциплінарн</w:t>
      </w:r>
      <w:r>
        <w:rPr>
          <w:color w:val="000000"/>
        </w:rPr>
        <w:t>ої</w:t>
      </w:r>
      <w:r w:rsidRPr="005E3632">
        <w:rPr>
          <w:color w:val="000000"/>
        </w:rPr>
        <w:t xml:space="preserve"> скарг</w:t>
      </w:r>
      <w:r>
        <w:rPr>
          <w:color w:val="000000"/>
        </w:rPr>
        <w:t>и</w:t>
      </w:r>
      <w:r w:rsidRPr="005E3632">
        <w:rPr>
          <w:color w:val="000000"/>
        </w:rPr>
        <w:t xml:space="preserve"> член</w:t>
      </w:r>
      <w:r>
        <w:rPr>
          <w:color w:val="000000"/>
        </w:rPr>
        <w:t>ом</w:t>
      </w:r>
      <w:r w:rsidRPr="005E3632">
        <w:rPr>
          <w:color w:val="000000"/>
        </w:rPr>
        <w:t xml:space="preserve"> Третьої Дисциплінарної палати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Швецовою</w:t>
      </w:r>
      <w:proofErr w:type="spellEnd"/>
      <w:r>
        <w:rPr>
          <w:color w:val="000000"/>
        </w:rPr>
        <w:t xml:space="preserve"> Л.А.</w:t>
      </w:r>
      <w:r w:rsidRPr="005E3632">
        <w:rPr>
          <w:color w:val="000000"/>
        </w:rPr>
        <w:t xml:space="preserve"> </w:t>
      </w:r>
      <w:r>
        <w:rPr>
          <w:color w:val="000000"/>
        </w:rPr>
        <w:t>складено висновок з</w:t>
      </w:r>
      <w:r w:rsidRPr="005E3632">
        <w:rPr>
          <w:color w:val="000000"/>
        </w:rPr>
        <w:t xml:space="preserve"> пропозиці</w:t>
      </w:r>
      <w:r>
        <w:rPr>
          <w:color w:val="000000"/>
        </w:rPr>
        <w:t>є</w:t>
      </w:r>
      <w:r w:rsidRPr="005E3632">
        <w:rPr>
          <w:color w:val="000000"/>
        </w:rPr>
        <w:t xml:space="preserve">ю </w:t>
      </w:r>
      <w:r>
        <w:rPr>
          <w:color w:val="000000"/>
        </w:rPr>
        <w:t xml:space="preserve">про </w:t>
      </w:r>
      <w:r w:rsidRPr="005E3632">
        <w:t>залиш</w:t>
      </w:r>
      <w:r>
        <w:t>ення</w:t>
      </w:r>
      <w:r w:rsidRPr="005E3632">
        <w:t xml:space="preserve"> </w:t>
      </w:r>
      <w:r>
        <w:t>скарги</w:t>
      </w:r>
      <w:r w:rsidRPr="005E3632">
        <w:t xml:space="preserve"> без розгляду та поверн</w:t>
      </w:r>
      <w:r>
        <w:t>ення</w:t>
      </w:r>
      <w:r w:rsidRPr="005E3632">
        <w:t xml:space="preserve"> </w:t>
      </w:r>
      <w:r>
        <w:t xml:space="preserve">її </w:t>
      </w:r>
      <w:r w:rsidRPr="005E3632">
        <w:rPr>
          <w:color w:val="000000"/>
        </w:rPr>
        <w:t>скаржник</w:t>
      </w:r>
      <w:r>
        <w:rPr>
          <w:color w:val="000000"/>
        </w:rPr>
        <w:t>у</w:t>
      </w:r>
      <w:r w:rsidRPr="005E3632">
        <w:rPr>
          <w:color w:val="000000"/>
        </w:rPr>
        <w:t>.</w:t>
      </w:r>
    </w:p>
    <w:p w:rsidR="00214649" w:rsidRPr="00ED4D59" w:rsidRDefault="00214649" w:rsidP="00214649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аслухавши доповідача – члена Третьої Дисциплінарної палати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Швецову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Л.А. та дослідивши матеріали попередньої перевірки</w:t>
      </w:r>
      <w:r w:rsidRPr="005E363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Третя Дисциплінарна палата Вищої ради правосуддя дійшла висновку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 наявність підстав для 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>залиш</w:t>
      </w:r>
      <w:r>
        <w:rPr>
          <w:rFonts w:ascii="Times New Roman" w:hAnsi="Times New Roman" w:cs="Times New Roman"/>
          <w:b w:val="0"/>
          <w:sz w:val="28"/>
          <w:szCs w:val="28"/>
        </w:rPr>
        <w:t>ення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дисциплінарн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5E3632">
        <w:rPr>
          <w:rFonts w:ascii="Times New Roman" w:hAnsi="Times New Roman" w:cs="Times New Roman"/>
          <w:b w:val="0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5E363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25D99">
        <w:rPr>
          <w:rFonts w:ascii="Times New Roman" w:hAnsi="Times New Roman"/>
          <w:b w:val="0"/>
          <w:sz w:val="28"/>
          <w:szCs w:val="28"/>
        </w:rPr>
        <w:t xml:space="preserve">адвоката </w:t>
      </w:r>
      <w:proofErr w:type="spellStart"/>
      <w:r w:rsidR="00025D99">
        <w:rPr>
          <w:rFonts w:ascii="Times New Roman" w:hAnsi="Times New Roman"/>
          <w:b w:val="0"/>
          <w:sz w:val="28"/>
          <w:szCs w:val="28"/>
        </w:rPr>
        <w:t>Сафонова</w:t>
      </w:r>
      <w:proofErr w:type="spellEnd"/>
      <w:r w:rsidR="00025D99">
        <w:rPr>
          <w:rFonts w:ascii="Times New Roman" w:hAnsi="Times New Roman"/>
          <w:b w:val="0"/>
          <w:sz w:val="28"/>
          <w:szCs w:val="28"/>
        </w:rPr>
        <w:t xml:space="preserve"> О.А. </w:t>
      </w:r>
      <w:r w:rsidRPr="005E3632">
        <w:rPr>
          <w:rStyle w:val="FontStyle14"/>
          <w:b w:val="0"/>
          <w:sz w:val="28"/>
          <w:szCs w:val="28"/>
        </w:rPr>
        <w:t xml:space="preserve">стосовно </w:t>
      </w:r>
      <w:r w:rsidRPr="00214649">
        <w:rPr>
          <w:rStyle w:val="FontStyle14"/>
          <w:b w:val="0"/>
          <w:sz w:val="28"/>
          <w:szCs w:val="28"/>
        </w:rPr>
        <w:t>судді</w:t>
      </w:r>
      <w:r w:rsidRPr="0021464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025D99">
        <w:rPr>
          <w:rFonts w:ascii="Times New Roman" w:hAnsi="Times New Roman"/>
          <w:b w:val="0"/>
          <w:sz w:val="28"/>
          <w:szCs w:val="28"/>
        </w:rPr>
        <w:t>Стрийського</w:t>
      </w:r>
      <w:proofErr w:type="spellEnd"/>
      <w:r w:rsidR="00025D9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025D99">
        <w:rPr>
          <w:rFonts w:ascii="Times New Roman" w:hAnsi="Times New Roman"/>
          <w:b w:val="0"/>
          <w:sz w:val="28"/>
          <w:szCs w:val="28"/>
        </w:rPr>
        <w:t>міськрайонного</w:t>
      </w:r>
      <w:proofErr w:type="spellEnd"/>
      <w:r w:rsidR="00025D99">
        <w:rPr>
          <w:rFonts w:ascii="Times New Roman" w:hAnsi="Times New Roman"/>
          <w:b w:val="0"/>
          <w:sz w:val="28"/>
          <w:szCs w:val="28"/>
        </w:rPr>
        <w:t xml:space="preserve"> суду Львівської області </w:t>
      </w:r>
      <w:proofErr w:type="spellStart"/>
      <w:r w:rsidR="00025D99">
        <w:rPr>
          <w:rFonts w:ascii="Times New Roman" w:hAnsi="Times New Roman"/>
          <w:b w:val="0"/>
          <w:sz w:val="28"/>
          <w:szCs w:val="28"/>
        </w:rPr>
        <w:t>Бораковського</w:t>
      </w:r>
      <w:proofErr w:type="spellEnd"/>
      <w:r w:rsidR="00025D99">
        <w:rPr>
          <w:rFonts w:ascii="Times New Roman" w:hAnsi="Times New Roman"/>
          <w:b w:val="0"/>
          <w:sz w:val="28"/>
          <w:szCs w:val="28"/>
        </w:rPr>
        <w:t xml:space="preserve"> В.М. </w:t>
      </w:r>
      <w:r w:rsidRPr="00ED4D59">
        <w:rPr>
          <w:rFonts w:ascii="Times New Roman" w:hAnsi="Times New Roman" w:cs="Times New Roman"/>
          <w:b w:val="0"/>
          <w:sz w:val="28"/>
          <w:szCs w:val="28"/>
        </w:rPr>
        <w:t xml:space="preserve">без розгляду та повернення її </w:t>
      </w:r>
      <w:r w:rsidRPr="00ED4D59">
        <w:rPr>
          <w:rFonts w:ascii="Times New Roman" w:hAnsi="Times New Roman" w:cs="Times New Roman"/>
          <w:b w:val="0"/>
          <w:color w:val="000000"/>
          <w:sz w:val="28"/>
          <w:szCs w:val="28"/>
        </w:rPr>
        <w:t>скаржнику з огляду на таке.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статті 108 Закону України «Про судоустрій і статус суддів» дисциплінарне провадження щодо судді здійснюють дисциплінарн</w:t>
      </w:r>
      <w:r w:rsidR="001A0CDE">
        <w:rPr>
          <w:rFonts w:ascii="Times New Roman" w:eastAsia="Times New Roman" w:hAnsi="Times New Roman" w:cs="Times New Roman"/>
          <w:color w:val="000000"/>
          <w:sz w:val="28"/>
          <w:szCs w:val="28"/>
        </w:rPr>
        <w:t>і палати Вищої ради правосуддя у</w:t>
      </w: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порядку, визначеному Законом України «Про Вищу раду правосуддя», з урахуванням вимог цього Закону.</w:t>
      </w:r>
    </w:p>
    <w:p w:rsidR="00214649" w:rsidRPr="00ED4D59" w:rsidRDefault="00214649" w:rsidP="00214649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D59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Дисциплінарне провадження щодо суддів проводиться за правилами та в строки, встановлені Главою 4 Закону України «Про Вищу раду правосуддя».</w:t>
      </w:r>
    </w:p>
    <w:p w:rsidR="00214649" w:rsidRDefault="00214649" w:rsidP="00214649">
      <w:pPr>
        <w:pStyle w:val="StyleZakonu"/>
        <w:spacing w:after="0" w:line="240" w:lineRule="auto"/>
        <w:ind w:firstLine="720"/>
        <w:rPr>
          <w:sz w:val="28"/>
          <w:szCs w:val="28"/>
        </w:rPr>
      </w:pPr>
      <w:r w:rsidRPr="00ED4D59">
        <w:rPr>
          <w:color w:val="000000"/>
          <w:sz w:val="28"/>
          <w:szCs w:val="28"/>
        </w:rPr>
        <w:t xml:space="preserve">Відповідно до пункту 3 </w:t>
      </w:r>
      <w:r w:rsidRPr="00ED4D59">
        <w:rPr>
          <w:sz w:val="28"/>
          <w:szCs w:val="28"/>
        </w:rPr>
        <w:t>частини першої статті 43 Закону України                       «Про Вищу раду правосуддя» член</w:t>
      </w:r>
      <w:r w:rsidRPr="005E3632">
        <w:rPr>
          <w:sz w:val="28"/>
          <w:szCs w:val="28"/>
        </w:rPr>
        <w:t xml:space="preserve"> Дисциплінарної палати, визначений для попередньої перевірки відповідної дисциплінарної скарги (доповідач)</w:t>
      </w:r>
      <w:r>
        <w:rPr>
          <w:sz w:val="28"/>
          <w:szCs w:val="28"/>
        </w:rPr>
        <w:t>,</w:t>
      </w:r>
      <w:r w:rsidRPr="005E3632">
        <w:rPr>
          <w:sz w:val="28"/>
          <w:szCs w:val="28"/>
        </w:rPr>
        <w:t xml:space="preserve"> за наявності підстав, визначених пунктом 6 частини першої </w:t>
      </w:r>
      <w:r w:rsidR="001A0CDE">
        <w:rPr>
          <w:sz w:val="28"/>
          <w:szCs w:val="28"/>
        </w:rPr>
        <w:t xml:space="preserve">статті 44 цього Закону - </w:t>
      </w:r>
      <w:r w:rsidRPr="005E3632">
        <w:rPr>
          <w:sz w:val="28"/>
          <w:szCs w:val="28"/>
        </w:rPr>
        <w:t>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справи.</w:t>
      </w:r>
    </w:p>
    <w:p w:rsidR="00025D99" w:rsidRPr="00025D99" w:rsidRDefault="00214649" w:rsidP="00025D9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Третьою Дисциплінарною палатою Вищої </w:t>
      </w:r>
      <w:r w:rsidR="001A0C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>ради правосуддя встановлено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 xml:space="preserve">. </w:t>
      </w:r>
      <w:r w:rsidR="00025D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uk-UA" w:bidi="uk-UA"/>
        </w:rPr>
        <w:tab/>
      </w:r>
      <w:proofErr w:type="spellStart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>Бораковський</w:t>
      </w:r>
      <w:proofErr w:type="spellEnd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Василь Миронович Постановою Верховної Ради України від 30 листопада 2006 року № 405-</w:t>
      </w:r>
      <w:r w:rsidR="00025D99">
        <w:rPr>
          <w:rFonts w:ascii="Times New Roman" w:hAnsi="Times New Roman"/>
          <w:color w:val="000000"/>
          <w:sz w:val="28"/>
          <w:szCs w:val="24"/>
          <w:lang w:val="en-US" w:eastAsia="ru-RU"/>
        </w:rPr>
        <w:t>V</w:t>
      </w:r>
      <w:r w:rsidR="00025D99" w:rsidRPr="00D739B4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обраний суддею </w:t>
      </w:r>
      <w:proofErr w:type="spellStart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>Стрийського</w:t>
      </w:r>
      <w:proofErr w:type="spellEnd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>міськрайонного</w:t>
      </w:r>
      <w:proofErr w:type="spellEnd"/>
      <w:r w:rsidR="00025D9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суду Львівської області безстроково.</w:t>
      </w:r>
    </w:p>
    <w:p w:rsidR="00025D99" w:rsidRDefault="00025D99" w:rsidP="00025D9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        В провадження судді </w:t>
      </w:r>
      <w:proofErr w:type="spellStart"/>
      <w:r>
        <w:rPr>
          <w:rFonts w:ascii="Times New Roman" w:hAnsi="Times New Roman"/>
          <w:color w:val="000000"/>
          <w:sz w:val="28"/>
          <w:szCs w:val="24"/>
          <w:lang w:eastAsia="ru-RU"/>
        </w:rPr>
        <w:t>Стрийського</w:t>
      </w:r>
      <w:proofErr w:type="spellEnd"/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  <w:lang w:eastAsia="ru-RU"/>
        </w:rPr>
        <w:t>міськрайонного</w:t>
      </w:r>
      <w:proofErr w:type="spellEnd"/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суду Львівської області </w:t>
      </w:r>
      <w:proofErr w:type="spellStart"/>
      <w:r>
        <w:rPr>
          <w:rFonts w:ascii="Times New Roman" w:hAnsi="Times New Roman"/>
          <w:color w:val="000000"/>
          <w:sz w:val="28"/>
          <w:szCs w:val="24"/>
          <w:lang w:eastAsia="ru-RU"/>
        </w:rPr>
        <w:t>Бораковського</w:t>
      </w:r>
      <w:proofErr w:type="spellEnd"/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В.М. надійшла позовна заява </w:t>
      </w:r>
      <w:r w:rsidR="005841FA">
        <w:rPr>
          <w:rFonts w:ascii="Times New Roman" w:hAnsi="Times New Roman"/>
          <w:sz w:val="28"/>
          <w:szCs w:val="28"/>
        </w:rPr>
        <w:t>Особа_1 до Особа_2, Особа_3</w:t>
      </w:r>
      <w:r>
        <w:rPr>
          <w:rFonts w:ascii="Times New Roman" w:hAnsi="Times New Roman"/>
          <w:sz w:val="28"/>
          <w:szCs w:val="28"/>
        </w:rPr>
        <w:t xml:space="preserve"> про визнання недійсним договору позики.</w:t>
      </w:r>
    </w:p>
    <w:p w:rsidR="00025D99" w:rsidRDefault="00025D99" w:rsidP="00025D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Рішенням </w:t>
      </w:r>
      <w:proofErr w:type="spellStart"/>
      <w:r>
        <w:rPr>
          <w:rFonts w:ascii="Times New Roman" w:hAnsi="Times New Roman"/>
          <w:sz w:val="28"/>
          <w:szCs w:val="28"/>
        </w:rPr>
        <w:t>Стрийського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Львівської області від                 4 жовтня 2019 року </w:t>
      </w:r>
      <w:r w:rsidRPr="00C612DD">
        <w:rPr>
          <w:rFonts w:ascii="Times New Roman" w:hAnsi="Times New Roman" w:cs="Times New Roman"/>
          <w:sz w:val="28"/>
          <w:szCs w:val="28"/>
        </w:rPr>
        <w:t>відмовлено повністю в позові</w:t>
      </w:r>
      <w:r w:rsidR="005841FA">
        <w:rPr>
          <w:rFonts w:ascii="Times New Roman" w:hAnsi="Times New Roman" w:cs="Times New Roman"/>
          <w:sz w:val="28"/>
          <w:szCs w:val="28"/>
        </w:rPr>
        <w:t xml:space="preserve"> Особа_1 до Особа_2, Особа_3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2DD">
        <w:rPr>
          <w:rFonts w:ascii="Times New Roman" w:hAnsi="Times New Roman" w:cs="Times New Roman"/>
          <w:sz w:val="28"/>
          <w:szCs w:val="28"/>
        </w:rPr>
        <w:t>про визнання недійсним договору позики.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5D99" w:rsidRDefault="00025D99" w:rsidP="00025D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6EBC">
        <w:rPr>
          <w:rFonts w:ascii="Times New Roman" w:hAnsi="Times New Roman" w:cs="Times New Roman"/>
          <w:sz w:val="28"/>
          <w:szCs w:val="28"/>
        </w:rPr>
        <w:t xml:space="preserve">У вказаному рішенні суддя </w:t>
      </w:r>
      <w:proofErr w:type="spellStart"/>
      <w:r w:rsidRPr="006D6EBC">
        <w:rPr>
          <w:rFonts w:ascii="Times New Roman" w:hAnsi="Times New Roman" w:cs="Times New Roman"/>
          <w:sz w:val="28"/>
          <w:szCs w:val="28"/>
        </w:rPr>
        <w:t>Бораковський</w:t>
      </w:r>
      <w:proofErr w:type="spellEnd"/>
      <w:r w:rsidRPr="006D6EBC">
        <w:rPr>
          <w:rFonts w:ascii="Times New Roman" w:hAnsi="Times New Roman" w:cs="Times New Roman"/>
          <w:sz w:val="28"/>
          <w:szCs w:val="28"/>
        </w:rPr>
        <w:t xml:space="preserve"> М.В. зазначив, що судом встановлено на підставі безпосередньо досліджених та оцінених доказів, </w:t>
      </w:r>
      <w:r>
        <w:rPr>
          <w:rFonts w:ascii="Times New Roman" w:hAnsi="Times New Roman" w:cs="Times New Roman"/>
          <w:sz w:val="28"/>
          <w:szCs w:val="28"/>
        </w:rPr>
        <w:t xml:space="preserve">що                 26 травня </w:t>
      </w:r>
      <w:r w:rsidRPr="006D6EBC">
        <w:rPr>
          <w:rFonts w:ascii="Times New Roman" w:hAnsi="Times New Roman" w:cs="Times New Roman"/>
          <w:sz w:val="28"/>
          <w:szCs w:val="28"/>
        </w:rPr>
        <w:t>2016</w:t>
      </w:r>
      <w:r w:rsidR="005841FA">
        <w:rPr>
          <w:rFonts w:ascii="Times New Roman" w:hAnsi="Times New Roman" w:cs="Times New Roman"/>
          <w:sz w:val="28"/>
          <w:szCs w:val="28"/>
        </w:rPr>
        <w:t xml:space="preserve"> року Особа_2 та Особа_3</w:t>
      </w:r>
      <w:r w:rsidRPr="006D6EBC">
        <w:rPr>
          <w:rFonts w:ascii="Times New Roman" w:hAnsi="Times New Roman" w:cs="Times New Roman"/>
          <w:sz w:val="28"/>
          <w:szCs w:val="28"/>
        </w:rPr>
        <w:t xml:space="preserve"> уклали догов</w:t>
      </w:r>
      <w:r>
        <w:rPr>
          <w:rFonts w:ascii="Times New Roman" w:hAnsi="Times New Roman" w:cs="Times New Roman"/>
          <w:sz w:val="28"/>
          <w:szCs w:val="28"/>
        </w:rPr>
        <w:t>ір поз</w:t>
      </w:r>
      <w:r w:rsidR="005841FA">
        <w:rPr>
          <w:rFonts w:ascii="Times New Roman" w:hAnsi="Times New Roman" w:cs="Times New Roman"/>
          <w:sz w:val="28"/>
          <w:szCs w:val="28"/>
        </w:rPr>
        <w:t>ики, згідно з яким Пособа_2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841FA">
        <w:rPr>
          <w:rFonts w:ascii="Times New Roman" w:hAnsi="Times New Roman" w:cs="Times New Roman"/>
          <w:sz w:val="28"/>
          <w:szCs w:val="28"/>
        </w:rPr>
        <w:t xml:space="preserve">ередав Особа_3 </w:t>
      </w:r>
      <w:r w:rsidRPr="006D6EBC">
        <w:rPr>
          <w:rFonts w:ascii="Times New Roman" w:hAnsi="Times New Roman" w:cs="Times New Roman"/>
          <w:sz w:val="28"/>
          <w:szCs w:val="28"/>
        </w:rPr>
        <w:t>197052 грн. 99 коп. для покупки об`єкта незавершеного будівництва за адресою: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1FA">
        <w:rPr>
          <w:rFonts w:ascii="Times New Roman" w:hAnsi="Times New Roman" w:cs="Times New Roman"/>
          <w:sz w:val="28"/>
          <w:szCs w:val="28"/>
        </w:rPr>
        <w:t xml:space="preserve">АДРЕСА_1 </w:t>
      </w:r>
      <w:r w:rsidRPr="006D6EBC">
        <w:rPr>
          <w:rFonts w:ascii="Times New Roman" w:hAnsi="Times New Roman" w:cs="Times New Roman"/>
          <w:sz w:val="28"/>
          <w:szCs w:val="28"/>
        </w:rPr>
        <w:t>продовження його будівництва, придбанн</w:t>
      </w:r>
      <w:r>
        <w:rPr>
          <w:rFonts w:ascii="Times New Roman" w:hAnsi="Times New Roman" w:cs="Times New Roman"/>
          <w:sz w:val="28"/>
          <w:szCs w:val="28"/>
        </w:rPr>
        <w:t>я будівельних матеріалів, оплати</w:t>
      </w:r>
      <w:r w:rsidRPr="006D6EBC">
        <w:rPr>
          <w:rFonts w:ascii="Times New Roman" w:hAnsi="Times New Roman" w:cs="Times New Roman"/>
          <w:sz w:val="28"/>
          <w:szCs w:val="28"/>
        </w:rPr>
        <w:t xml:space="preserve"> будівельних робіт, оформлення документів на землю, здача об`є</w:t>
      </w:r>
      <w:r>
        <w:rPr>
          <w:rFonts w:ascii="Times New Roman" w:hAnsi="Times New Roman" w:cs="Times New Roman"/>
          <w:sz w:val="28"/>
          <w:szCs w:val="28"/>
        </w:rPr>
        <w:t>кта в експлуатацію та реєстрації</w:t>
      </w:r>
      <w:r w:rsidRPr="006D6EBC">
        <w:rPr>
          <w:rFonts w:ascii="Times New Roman" w:hAnsi="Times New Roman" w:cs="Times New Roman"/>
          <w:sz w:val="28"/>
          <w:szCs w:val="28"/>
        </w:rPr>
        <w:t xml:space="preserve"> права власності, фінансування інших витрат пов`язаних з будівництвом. Позика була надана шляхом зарахування готівкових коштів на рахунок</w:t>
      </w:r>
      <w:r w:rsidR="005841FA">
        <w:rPr>
          <w:rFonts w:ascii="Times New Roman" w:hAnsi="Times New Roman" w:cs="Times New Roman"/>
          <w:sz w:val="28"/>
          <w:szCs w:val="28"/>
        </w:rPr>
        <w:t xml:space="preserve"> Особа_3</w:t>
      </w:r>
      <w:r w:rsidRPr="006D6EBC">
        <w:rPr>
          <w:rFonts w:ascii="Times New Roman" w:hAnsi="Times New Roman" w:cs="Times New Roman"/>
          <w:sz w:val="28"/>
          <w:szCs w:val="28"/>
        </w:rPr>
        <w:t>, безготівкового перерах</w:t>
      </w:r>
      <w:r>
        <w:rPr>
          <w:rFonts w:ascii="Times New Roman" w:hAnsi="Times New Roman" w:cs="Times New Roman"/>
          <w:sz w:val="28"/>
          <w:szCs w:val="28"/>
        </w:rPr>
        <w:t>ування коштів на рахунок</w:t>
      </w:r>
      <w:r w:rsidRPr="006D6EBC">
        <w:rPr>
          <w:rFonts w:ascii="Times New Roman" w:hAnsi="Times New Roman" w:cs="Times New Roman"/>
          <w:sz w:val="28"/>
          <w:szCs w:val="28"/>
        </w:rPr>
        <w:t xml:space="preserve"> та надання йому готівки.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BC">
        <w:rPr>
          <w:rFonts w:ascii="Times New Roman" w:hAnsi="Times New Roman" w:cs="Times New Roman"/>
          <w:sz w:val="28"/>
          <w:szCs w:val="28"/>
        </w:rPr>
        <w:t xml:space="preserve">Вказані обставини про укладення договору та отримання </w:t>
      </w:r>
      <w:r w:rsidR="005841FA">
        <w:rPr>
          <w:rFonts w:ascii="Times New Roman" w:hAnsi="Times New Roman" w:cs="Times New Roman"/>
          <w:sz w:val="28"/>
          <w:szCs w:val="28"/>
        </w:rPr>
        <w:t>Особа_3 від Особа_2</w:t>
      </w:r>
      <w:r w:rsidRPr="006D6EBC">
        <w:rPr>
          <w:rFonts w:ascii="Times New Roman" w:hAnsi="Times New Roman" w:cs="Times New Roman"/>
          <w:sz w:val="28"/>
          <w:szCs w:val="28"/>
        </w:rPr>
        <w:t xml:space="preserve"> на виконання вказаного договору зазначених коштів підтвердив у судовому засіданні представник відповідачів.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D6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5D99" w:rsidRPr="006D6EBC" w:rsidRDefault="00025D99" w:rsidP="00025D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Суд зазначив</w:t>
      </w:r>
      <w:r w:rsidRPr="006D6EBC">
        <w:rPr>
          <w:rFonts w:ascii="Times New Roman" w:hAnsi="Times New Roman" w:cs="Times New Roman"/>
          <w:sz w:val="28"/>
          <w:szCs w:val="28"/>
        </w:rPr>
        <w:t xml:space="preserve">, що цивільне процесуальне законодавство передбачає підстави, наявність яких звільняє від доказування. Так, обставини, встановлені рішенням суду у цивільній справі, що набрало законної сили, не доказуються при розгляді іншої справи, у якій беруть участь ті самі особи </w:t>
      </w:r>
      <w:r>
        <w:rPr>
          <w:rFonts w:ascii="Times New Roman" w:hAnsi="Times New Roman" w:cs="Times New Roman"/>
          <w:sz w:val="28"/>
          <w:szCs w:val="28"/>
        </w:rPr>
        <w:t>або особа, щодо якої встановлені</w:t>
      </w:r>
      <w:r w:rsidRPr="006D6EBC">
        <w:rPr>
          <w:rFonts w:ascii="Times New Roman" w:hAnsi="Times New Roman" w:cs="Times New Roman"/>
          <w:sz w:val="28"/>
          <w:szCs w:val="28"/>
        </w:rPr>
        <w:t xml:space="preserve"> ці обставини, якщо інше не встановлено законом (частина 4 </w:t>
      </w:r>
      <w:hyperlink r:id="rId8" w:anchor="7949" w:tgtFrame="_blank" w:tooltip="Цивільний процесуальний кодекс України (ред. з 15.12.2017); нормативно-правовий акт № 1618-IV від 18.03.2004" w:history="1">
        <w:r w:rsidRPr="00025D99">
          <w:rPr>
            <w:rStyle w:val="a9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статті 82 ЦПК України</w:t>
        </w:r>
      </w:hyperlink>
      <w:r w:rsidRPr="00025D9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D6EBC">
        <w:rPr>
          <w:rFonts w:ascii="Times New Roman" w:hAnsi="Times New Roman" w:cs="Times New Roman"/>
          <w:sz w:val="28"/>
          <w:szCs w:val="28"/>
        </w:rPr>
        <w:t>Разом з тим, постановою Апеляційного су</w:t>
      </w:r>
      <w:r>
        <w:rPr>
          <w:rFonts w:ascii="Times New Roman" w:hAnsi="Times New Roman" w:cs="Times New Roman"/>
          <w:sz w:val="28"/>
          <w:szCs w:val="28"/>
        </w:rPr>
        <w:t xml:space="preserve">ду Львівської області від               20 серпня </w:t>
      </w:r>
      <w:r w:rsidRPr="006D6EBC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6D6EBC">
        <w:rPr>
          <w:rFonts w:ascii="Times New Roman" w:hAnsi="Times New Roman" w:cs="Times New Roman"/>
          <w:sz w:val="28"/>
          <w:szCs w:val="28"/>
        </w:rPr>
        <w:t xml:space="preserve">, яка набрала законної сили, встановлено обставину отримання </w:t>
      </w:r>
      <w:r w:rsidR="005841FA">
        <w:rPr>
          <w:rFonts w:ascii="Times New Roman" w:hAnsi="Times New Roman" w:cs="Times New Roman"/>
          <w:sz w:val="28"/>
          <w:szCs w:val="28"/>
        </w:rPr>
        <w:t>Особа_3 від Особа_2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BC">
        <w:rPr>
          <w:rFonts w:ascii="Times New Roman" w:hAnsi="Times New Roman" w:cs="Times New Roman"/>
          <w:sz w:val="28"/>
          <w:szCs w:val="28"/>
        </w:rPr>
        <w:t>коштів з цільовим призначенням позики, з обов`язком повернути позичені кошти. Таким чином</w:t>
      </w:r>
      <w:r>
        <w:rPr>
          <w:rFonts w:ascii="Times New Roman" w:hAnsi="Times New Roman" w:cs="Times New Roman"/>
          <w:sz w:val="28"/>
          <w:szCs w:val="28"/>
        </w:rPr>
        <w:t>, аргументи сторони позивача про наявність</w:t>
      </w:r>
      <w:r w:rsidRPr="006D6EBC">
        <w:rPr>
          <w:rFonts w:ascii="Times New Roman" w:hAnsi="Times New Roman" w:cs="Times New Roman"/>
          <w:sz w:val="28"/>
          <w:szCs w:val="28"/>
        </w:rPr>
        <w:t xml:space="preserve"> сумнівів </w:t>
      </w:r>
      <w:r>
        <w:rPr>
          <w:rFonts w:ascii="Times New Roman" w:hAnsi="Times New Roman" w:cs="Times New Roman"/>
          <w:sz w:val="28"/>
          <w:szCs w:val="28"/>
        </w:rPr>
        <w:t>щодо отримання коштів суд першої інстанції вважав</w:t>
      </w:r>
      <w:r w:rsidRPr="006D6EBC">
        <w:rPr>
          <w:rFonts w:ascii="Times New Roman" w:hAnsi="Times New Roman" w:cs="Times New Roman"/>
          <w:sz w:val="28"/>
          <w:szCs w:val="28"/>
        </w:rPr>
        <w:t xml:space="preserve"> неспроможними і спростованими вищевказаним рішенням апеляційної інстанції.</w:t>
      </w:r>
    </w:p>
    <w:p w:rsidR="00025D99" w:rsidRDefault="00025D99" w:rsidP="00025D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>Також, апеляційний суд встановив, що на підтвердження договору позики може бути представлена не лише письмова розписка, а й платіжне доручення банку, рахунок-фактура, тощо. Інших доказів на підтвердження позову стороною позивача суду надано не було.</w:t>
      </w:r>
      <w:r w:rsidRPr="00025D99"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ab/>
      </w:r>
    </w:p>
    <w:p w:rsidR="00025D99" w:rsidRDefault="00025D99" w:rsidP="00025D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>Ухвалою</w:t>
      </w:r>
      <w:r>
        <w:rPr>
          <w:rFonts w:ascii="Times New Roman" w:hAnsi="Times New Roman" w:cs="Times New Roman"/>
          <w:sz w:val="28"/>
          <w:szCs w:val="28"/>
        </w:rPr>
        <w:t xml:space="preserve"> Львівського апеляційного суду </w:t>
      </w:r>
      <w:r w:rsidRPr="00025D99">
        <w:rPr>
          <w:rFonts w:ascii="Times New Roman" w:hAnsi="Times New Roman" w:cs="Times New Roman"/>
          <w:sz w:val="28"/>
          <w:szCs w:val="28"/>
        </w:rPr>
        <w:t>від 29 листопада 2019 року відкрито апеляційне провадження у справі № 456/3646/18 .</w:t>
      </w:r>
      <w:r w:rsidRPr="00025D99"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sz w:val="28"/>
          <w:szCs w:val="28"/>
        </w:rPr>
        <w:tab/>
      </w:r>
    </w:p>
    <w:p w:rsidR="00214649" w:rsidRPr="00025D99" w:rsidRDefault="00025D99" w:rsidP="003F684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5D99">
        <w:rPr>
          <w:rFonts w:ascii="Times New Roman" w:hAnsi="Times New Roman" w:cs="Times New Roman"/>
          <w:color w:val="000000"/>
          <w:sz w:val="28"/>
          <w:szCs w:val="28"/>
        </w:rPr>
        <w:t xml:space="preserve">На даний час Львівським апеляційним судом рішення у даній справі за результатами перегляду справи в апеляційному порядку не прийнято.    </w:t>
      </w:r>
    </w:p>
    <w:p w:rsidR="00214649" w:rsidRPr="00B64206" w:rsidRDefault="00214649" w:rsidP="00214649">
      <w:pPr>
        <w:pStyle w:val="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Вища рада правосуддя </w:t>
      </w:r>
      <w:r w:rsidRPr="00B64206">
        <w:rPr>
          <w:rFonts w:ascii="Times New Roman" w:hAnsi="Times New Roman" w:cs="Times New Roman"/>
          <w:bCs/>
          <w:sz w:val="28"/>
          <w:szCs w:val="28"/>
        </w:rPr>
        <w:t xml:space="preserve">згідно зі статтею 131 Конституції України, статтею 3 Закону України «Про Вищу раду правосуддя» не є органом, що здійснює судочинство, </w:t>
      </w: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не наділена повноваженнями оцінювати законність судового рішення, перевіряти його правовий зміст. Виключне право перевірки законності та обґрунтованості судових рішень має відповідний суд згідно з процесуальним законодавством.</w:t>
      </w:r>
    </w:p>
    <w:p w:rsidR="00214649" w:rsidRPr="00B64206" w:rsidRDefault="00214649" w:rsidP="00214649">
      <w:pPr>
        <w:pStyle w:val="1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B6420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Відповідно до статті 367 ЦПК України суд апеляційної інстанції переглядає справу за наявними в ній і додатково поданими доказами та перевіряє законність і обґрунтованість рішення суду першої інстанції в межах доводів та вимог апеляційної скарги; досліджує докази, що стосується фактів, на які учасники справи посилаються в апеляційній скарзі та (або) відзиві на неї. Суд апеляційної інстанції не обмежений доводами та вимогами апеляційної скарги, якщо під час розгляду справи буде встановлено порушення норм процесуального права, які є обов’язковою підставою для скасування рішення, або неправильне застосування норм матеріального права. Якщо поза увагою доводів апеляційної скарги залишилася очевидна незаконність або необґрунтованість рішення суду першої інстанції у справах окремого провадження, суд апеляційної інстанції переглядає справу в повному обсязі.         </w:t>
      </w:r>
    </w:p>
    <w:p w:rsidR="00214649" w:rsidRPr="008F709D" w:rsidRDefault="00214649" w:rsidP="008F709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64206">
        <w:rPr>
          <w:rFonts w:ascii="Times New Roman" w:eastAsia="Times New Roman" w:hAnsi="Times New Roman"/>
          <w:color w:val="000000"/>
          <w:sz w:val="28"/>
          <w:szCs w:val="28"/>
        </w:rPr>
        <w:t xml:space="preserve">Викладені у дисциплінарній скарзі доводи фактично зводяться до незгоди з процесуальними діями судді під час розгляду справи, </w:t>
      </w:r>
      <w:r w:rsidRPr="00B64206">
        <w:rPr>
          <w:rFonts w:ascii="Times New Roman" w:eastAsia="Times New Roman" w:hAnsi="Times New Roman"/>
          <w:sz w:val="28"/>
          <w:szCs w:val="28"/>
          <w:lang w:eastAsia="uk-UA"/>
        </w:rPr>
        <w:t>а також з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правовими висновками суду, мотивами та обґрунтуванням ухваленого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ним судового 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рішення, правильність яких із точки зору застосування судом норм матеріального права чи дотримання норм процесуального права може бути 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перевірена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 оцінена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лише судом вищої інстанції у порядку, передбаченому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Ц</w:t>
      </w:r>
      <w:r w:rsidR="00FA0F5A">
        <w:rPr>
          <w:rFonts w:ascii="Times New Roman" w:eastAsia="Times New Roman" w:hAnsi="Times New Roman"/>
          <w:sz w:val="28"/>
          <w:szCs w:val="28"/>
          <w:lang w:eastAsia="uk-UA"/>
        </w:rPr>
        <w:t>ПК</w:t>
      </w:r>
      <w:r w:rsidRPr="009474D5">
        <w:rPr>
          <w:rFonts w:ascii="Times New Roman" w:eastAsia="Times New Roman" w:hAnsi="Times New Roman"/>
          <w:sz w:val="28"/>
          <w:szCs w:val="28"/>
          <w:lang w:eastAsia="uk-UA"/>
        </w:rPr>
        <w:t xml:space="preserve"> України.</w:t>
      </w:r>
    </w:p>
    <w:p w:rsidR="00214649" w:rsidRPr="00B64206" w:rsidRDefault="00214649" w:rsidP="002146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Пунктом 6 частини першої статті 44 Закону України </w:t>
      </w:r>
      <w:r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Вищу раду правосуддя» 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передбачено, що дисциплінарна скарга залишається без розгляду та повертається скаржнику, якщо скарга ґрунтується лише на доводах, що можуть бути </w:t>
      </w:r>
      <w:r w:rsidRPr="00B64206">
        <w:rPr>
          <w:rFonts w:ascii="Times New Roman" w:eastAsia="Calibri" w:hAnsi="Times New Roman" w:cs="Times New Roman"/>
          <w:sz w:val="28"/>
          <w:szCs w:val="28"/>
        </w:rPr>
        <w:t>перевірені виключно судом вищої інстанції в порядку, передбаченому процесуальним законом.</w:t>
      </w:r>
    </w:p>
    <w:p w:rsidR="00D60BD0" w:rsidRPr="003F684D" w:rsidRDefault="00214649" w:rsidP="003F68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4206">
        <w:rPr>
          <w:rFonts w:ascii="Times New Roman" w:hAnsi="Times New Roman" w:cs="Times New Roman"/>
          <w:sz w:val="28"/>
          <w:szCs w:val="28"/>
        </w:rPr>
        <w:t>Враховуючи наведені вище обставини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Третя Дисциплінарна палата Вищої ради правосуддя дійшла висновку, що дисциплінарна скарга підлягає залишенню без розгляду та поверненню скаржнику на підставі пункту</w:t>
      </w:r>
      <w:r w:rsidRPr="00B642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>6 частини першої статті 44 Закону України «Про Вищу раду правосуддя»</w:t>
      </w:r>
      <w:r w:rsidRPr="00B6420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B642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A0F5A" w:rsidRPr="00D60BD0" w:rsidRDefault="00214649" w:rsidP="00D60B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206">
        <w:rPr>
          <w:rFonts w:ascii="Times New Roman" w:eastAsia="Calibri" w:hAnsi="Times New Roman" w:cs="Times New Roman"/>
          <w:sz w:val="28"/>
          <w:szCs w:val="28"/>
        </w:rPr>
        <w:t>Керуючись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 статтями 42–44 Закону України «Про Вищу раду правосуддя», Третя Дисциплінарна палата Вищої ради правосуддя </w:t>
      </w:r>
    </w:p>
    <w:p w:rsidR="00214649" w:rsidRPr="00A03477" w:rsidRDefault="00214649" w:rsidP="0021464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A0347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4649" w:rsidRPr="00A03477" w:rsidRDefault="00214649" w:rsidP="002146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</w:rPr>
        <w:t>дисциплінарн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8F709D" w:rsidRPr="008F709D">
        <w:rPr>
          <w:rFonts w:ascii="Times New Roman" w:hAnsi="Times New Roman"/>
          <w:sz w:val="28"/>
          <w:szCs w:val="28"/>
        </w:rPr>
        <w:t xml:space="preserve"> </w:t>
      </w:r>
      <w:r w:rsidR="00025D99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025D99">
        <w:rPr>
          <w:rFonts w:ascii="Times New Roman" w:hAnsi="Times New Roman"/>
          <w:sz w:val="28"/>
          <w:szCs w:val="28"/>
        </w:rPr>
        <w:t>Сафонова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Олексія Анатолійовича </w:t>
      </w:r>
      <w:r w:rsidR="008F709D">
        <w:rPr>
          <w:rFonts w:ascii="Times New Roman" w:eastAsia="Calibri" w:hAnsi="Times New Roman" w:cs="Times New Roman"/>
          <w:sz w:val="28"/>
          <w:szCs w:val="28"/>
        </w:rPr>
        <w:t xml:space="preserve">стосовно </w:t>
      </w:r>
      <w:r w:rsidR="008F709D" w:rsidRPr="00214649">
        <w:rPr>
          <w:rFonts w:ascii="Times New Roman" w:eastAsia="Calibri" w:hAnsi="Times New Roman" w:cs="Times New Roman"/>
          <w:sz w:val="28"/>
          <w:szCs w:val="28"/>
        </w:rPr>
        <w:t xml:space="preserve">судді </w:t>
      </w:r>
      <w:proofErr w:type="spellStart"/>
      <w:r w:rsidR="00025D99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5D99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суду Львівської області </w:t>
      </w:r>
      <w:r w:rsidR="001A0CDE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025D99">
        <w:rPr>
          <w:rFonts w:ascii="Times New Roman" w:hAnsi="Times New Roman"/>
          <w:sz w:val="28"/>
          <w:szCs w:val="28"/>
        </w:rPr>
        <w:t>Бораковського</w:t>
      </w:r>
      <w:proofErr w:type="spellEnd"/>
      <w:r w:rsidR="00025D99">
        <w:rPr>
          <w:rFonts w:ascii="Times New Roman" w:hAnsi="Times New Roman"/>
          <w:sz w:val="28"/>
          <w:szCs w:val="28"/>
        </w:rPr>
        <w:t xml:space="preserve"> Василя Мироновича </w:t>
      </w:r>
      <w:r w:rsidRPr="00A03477">
        <w:rPr>
          <w:rFonts w:ascii="Times New Roman" w:eastAsia="Calibri" w:hAnsi="Times New Roman" w:cs="Times New Roman"/>
          <w:sz w:val="28"/>
          <w:szCs w:val="28"/>
        </w:rPr>
        <w:t>залишити без розгляду та повернути скаржник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034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649" w:rsidRPr="006166C9" w:rsidRDefault="00214649" w:rsidP="0021464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A03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214649" w:rsidRPr="00A03477" w:rsidRDefault="00214649" w:rsidP="002146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90" w:type="dxa"/>
        <w:tblLook w:val="04A0"/>
      </w:tblPr>
      <w:tblGrid>
        <w:gridCol w:w="6771"/>
        <w:gridCol w:w="3119"/>
      </w:tblGrid>
      <w:tr w:rsidR="00214649" w:rsidRPr="00A03477" w:rsidTr="003A796C">
        <w:trPr>
          <w:trHeight w:val="1004"/>
        </w:trPr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Головуючий на засіданні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Третьої Дисциплінарної палати 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Вищої ради правосуддя</w:t>
            </w:r>
          </w:p>
        </w:tc>
        <w:tc>
          <w:tcPr>
            <w:tcW w:w="3119" w:type="dxa"/>
          </w:tcPr>
          <w:p w:rsidR="00214649" w:rsidRPr="00652708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14649" w:rsidRPr="00652708" w:rsidRDefault="008F709D" w:rsidP="008F709D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В.І. Говоруха</w:t>
            </w: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4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214649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П.М. </w:t>
            </w:r>
            <w:proofErr w:type="spellStart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Гречківський</w:t>
            </w:r>
            <w:proofErr w:type="spellEnd"/>
            <w:r w:rsidRPr="0065270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Л.Б. Іванова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  <w:t>В.В. Матвійчук</w:t>
            </w: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tabs>
                <w:tab w:val="left" w:pos="6521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4649" w:rsidRPr="00652708" w:rsidRDefault="00214649" w:rsidP="003A796C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4649" w:rsidRPr="00A03477" w:rsidTr="003A796C">
        <w:tc>
          <w:tcPr>
            <w:tcW w:w="6771" w:type="dxa"/>
          </w:tcPr>
          <w:p w:rsidR="00214649" w:rsidRPr="00A03477" w:rsidRDefault="00214649" w:rsidP="003A79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3119" w:type="dxa"/>
          </w:tcPr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214649" w:rsidRPr="008A000F" w:rsidRDefault="00214649" w:rsidP="003A796C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4649" w:rsidRPr="009560F2" w:rsidRDefault="00214649" w:rsidP="0021464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5D75" w:rsidRDefault="00D35D75"/>
    <w:sectPr w:rsidR="00D35D75" w:rsidSect="00447D99">
      <w:headerReference w:type="default" r:id="rId9"/>
      <w:pgSz w:w="11906" w:h="16838"/>
      <w:pgMar w:top="1134" w:right="70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813" w:rsidRDefault="00A41813" w:rsidP="0005556C">
      <w:pPr>
        <w:spacing w:after="0" w:line="240" w:lineRule="auto"/>
      </w:pPr>
      <w:r>
        <w:separator/>
      </w:r>
    </w:p>
  </w:endnote>
  <w:endnote w:type="continuationSeparator" w:id="0">
    <w:p w:rsidR="00A41813" w:rsidRDefault="00A41813" w:rsidP="00055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813" w:rsidRDefault="00A41813" w:rsidP="0005556C">
      <w:pPr>
        <w:spacing w:after="0" w:line="240" w:lineRule="auto"/>
      </w:pPr>
      <w:r>
        <w:separator/>
      </w:r>
    </w:p>
  </w:footnote>
  <w:footnote w:type="continuationSeparator" w:id="0">
    <w:p w:rsidR="00A41813" w:rsidRDefault="00A41813" w:rsidP="00055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CC" w:rsidRDefault="00EB741F">
    <w:pPr>
      <w:pStyle w:val="a3"/>
      <w:jc w:val="center"/>
    </w:pPr>
    <w:r>
      <w:fldChar w:fldCharType="begin"/>
    </w:r>
    <w:r w:rsidR="008F709D">
      <w:instrText xml:space="preserve"> PAGE   \* MERGEFORMAT </w:instrText>
    </w:r>
    <w:r>
      <w:fldChar w:fldCharType="separate"/>
    </w:r>
    <w:r w:rsidR="005841FA">
      <w:rPr>
        <w:noProof/>
      </w:rPr>
      <w:t>2</w:t>
    </w:r>
    <w:r>
      <w:rPr>
        <w:noProof/>
      </w:rPr>
      <w:fldChar w:fldCharType="end"/>
    </w:r>
  </w:p>
  <w:p w:rsidR="002434CC" w:rsidRDefault="00A4181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18E"/>
    <w:multiLevelType w:val="multilevel"/>
    <w:tmpl w:val="6B76EF1A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D0A7B"/>
    <w:multiLevelType w:val="hybridMultilevel"/>
    <w:tmpl w:val="E6865872"/>
    <w:lvl w:ilvl="0" w:tplc="7EC48F16">
      <w:start w:val="1"/>
      <w:numFmt w:val="decimal"/>
      <w:lvlText w:val="%1."/>
      <w:lvlJc w:val="left"/>
      <w:pPr>
        <w:ind w:left="8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20144616"/>
    <w:multiLevelType w:val="multilevel"/>
    <w:tmpl w:val="E0A49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649"/>
    <w:rsid w:val="00024B62"/>
    <w:rsid w:val="00025D99"/>
    <w:rsid w:val="0005556C"/>
    <w:rsid w:val="001A0CDE"/>
    <w:rsid w:val="001F73CC"/>
    <w:rsid w:val="00214649"/>
    <w:rsid w:val="002A095D"/>
    <w:rsid w:val="003D47B1"/>
    <w:rsid w:val="003F684D"/>
    <w:rsid w:val="005841FA"/>
    <w:rsid w:val="00627C19"/>
    <w:rsid w:val="00645518"/>
    <w:rsid w:val="00651877"/>
    <w:rsid w:val="006C2405"/>
    <w:rsid w:val="008F709D"/>
    <w:rsid w:val="009318CD"/>
    <w:rsid w:val="009A45F1"/>
    <w:rsid w:val="00A41813"/>
    <w:rsid w:val="00D35D75"/>
    <w:rsid w:val="00D60BD0"/>
    <w:rsid w:val="00D74D1E"/>
    <w:rsid w:val="00D84652"/>
    <w:rsid w:val="00E610D9"/>
    <w:rsid w:val="00EB741F"/>
    <w:rsid w:val="00EF54DA"/>
    <w:rsid w:val="00FA0F5A"/>
    <w:rsid w:val="00FB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46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14649"/>
  </w:style>
  <w:style w:type="character" w:customStyle="1" w:styleId="a5">
    <w:name w:val="Основний текст_"/>
    <w:basedOn w:val="a0"/>
    <w:link w:val="1"/>
    <w:rsid w:val="00214649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214649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locked/>
    <w:rsid w:val="00214649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64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  <w:style w:type="paragraph" w:customStyle="1" w:styleId="Style98">
    <w:name w:val="Style98"/>
    <w:basedOn w:val="a"/>
    <w:rsid w:val="00214649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214649"/>
    <w:rPr>
      <w:rFonts w:ascii="Times New Roman" w:hAnsi="Times New Roman" w:cs="Times New Roman" w:hint="default"/>
      <w:sz w:val="26"/>
      <w:szCs w:val="26"/>
    </w:rPr>
  </w:style>
  <w:style w:type="paragraph" w:customStyle="1" w:styleId="StyleZakonu">
    <w:name w:val="StyleZakonu"/>
    <w:basedOn w:val="a"/>
    <w:link w:val="StyleZakonu0"/>
    <w:rsid w:val="00214649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2146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214649"/>
    <w:pPr>
      <w:ind w:left="720"/>
      <w:contextualSpacing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214649"/>
    <w:rPr>
      <w:rFonts w:ascii="Times New Roman" w:eastAsia="Calibri" w:hAnsi="Times New Roman" w:cs="Times New Roman"/>
      <w:sz w:val="24"/>
      <w:lang w:val="ru-RU"/>
    </w:rPr>
  </w:style>
  <w:style w:type="paragraph" w:styleId="a8">
    <w:name w:val="No Spacing"/>
    <w:uiPriority w:val="1"/>
    <w:qFormat/>
    <w:rsid w:val="00214649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214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1464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9">
    <w:name w:val="Hyperlink"/>
    <w:basedOn w:val="a0"/>
    <w:uiPriority w:val="99"/>
    <w:semiHidden/>
    <w:unhideWhenUsed/>
    <w:rsid w:val="003F684D"/>
    <w:rPr>
      <w:color w:val="0000FF"/>
      <w:u w:val="single"/>
    </w:rPr>
  </w:style>
  <w:style w:type="paragraph" w:customStyle="1" w:styleId="rvps2">
    <w:name w:val="rvps2"/>
    <w:basedOn w:val="a"/>
    <w:rsid w:val="003F6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7949/ed_2018_10_02/pravo1/T04_1618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5931</Words>
  <Characters>3382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14</cp:revision>
  <cp:lastPrinted>2020-01-28T10:03:00Z</cp:lastPrinted>
  <dcterms:created xsi:type="dcterms:W3CDTF">2019-12-04T07:37:00Z</dcterms:created>
  <dcterms:modified xsi:type="dcterms:W3CDTF">2020-01-30T12:16:00Z</dcterms:modified>
</cp:coreProperties>
</file>