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49" w:rsidRDefault="00214649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D60BD0" w:rsidRDefault="00D60BD0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D60BD0" w:rsidRPr="00D31C10" w:rsidRDefault="00D60BD0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214649" w:rsidRPr="00920881" w:rsidRDefault="00214649" w:rsidP="00214649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A83448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:rsidR="00214649" w:rsidRPr="00920881" w:rsidRDefault="00214649" w:rsidP="0021464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214649" w:rsidRPr="009F044A" w:rsidRDefault="00214649" w:rsidP="0021464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14649" w:rsidRPr="00920881" w:rsidRDefault="00214649" w:rsidP="00214649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173" w:type="dxa"/>
        <w:tblInd w:w="-142" w:type="dxa"/>
        <w:tblLook w:val="04A0"/>
      </w:tblPr>
      <w:tblGrid>
        <w:gridCol w:w="142"/>
        <w:gridCol w:w="3098"/>
        <w:gridCol w:w="1844"/>
        <w:gridCol w:w="1465"/>
        <w:gridCol w:w="3624"/>
      </w:tblGrid>
      <w:tr w:rsidR="00214649" w:rsidRPr="00635BF0" w:rsidTr="003A796C">
        <w:trPr>
          <w:gridBefore w:val="1"/>
          <w:wBefore w:w="142" w:type="dxa"/>
          <w:trHeight w:val="188"/>
        </w:trPr>
        <w:tc>
          <w:tcPr>
            <w:tcW w:w="3098" w:type="dxa"/>
          </w:tcPr>
          <w:p w:rsidR="00214649" w:rsidRPr="00BE5E21" w:rsidRDefault="003F684D" w:rsidP="003A796C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29 січня </w:t>
            </w:r>
            <w:r w:rsidR="001F73CC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2020 року</w:t>
            </w:r>
          </w:p>
        </w:tc>
        <w:tc>
          <w:tcPr>
            <w:tcW w:w="3309" w:type="dxa"/>
            <w:gridSpan w:val="2"/>
          </w:tcPr>
          <w:p w:rsidR="00214649" w:rsidRPr="00B15DB8" w:rsidRDefault="00214649" w:rsidP="003A796C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B15DB8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214649" w:rsidRPr="009F044A" w:rsidRDefault="00214649" w:rsidP="003A796C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№ </w:t>
            </w:r>
            <w:r w:rsidR="006D227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247</w:t>
            </w: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3</w:t>
            </w: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дп/15-</w:t>
            </w:r>
            <w:r w:rsidR="001A6E9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20</w:t>
            </w:r>
          </w:p>
        </w:tc>
      </w:tr>
      <w:tr w:rsidR="00214649" w:rsidRPr="00542120" w:rsidTr="003A79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2"/>
          <w:wAfter w:w="5089" w:type="dxa"/>
          <w:trHeight w:val="1236"/>
        </w:trPr>
        <w:tc>
          <w:tcPr>
            <w:tcW w:w="50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4649" w:rsidRDefault="00214649" w:rsidP="003A796C">
            <w:pPr>
              <w:spacing w:after="0" w:line="240" w:lineRule="auto"/>
              <w:ind w:right="43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14649" w:rsidRPr="00542120" w:rsidRDefault="00214649" w:rsidP="00024B62">
            <w:pPr>
              <w:spacing w:after="0" w:line="240" w:lineRule="auto"/>
              <w:ind w:right="577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  <w:lang w:eastAsia="uk-UA"/>
              </w:rPr>
            </w:pP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 залишення без розгляду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та повернення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дисциплінарн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ої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скарг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24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Лещика В.В.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стосовно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судді </w:t>
            </w:r>
            <w:r w:rsidR="00024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Хмельницького міськрайонного суду Хмельницької області Логінової С.М.</w:t>
            </w:r>
          </w:p>
        </w:tc>
      </w:tr>
    </w:tbl>
    <w:p w:rsidR="00214649" w:rsidRDefault="00214649" w:rsidP="0021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649" w:rsidRPr="00214649" w:rsidRDefault="00214649" w:rsidP="00FA0F5A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A03477">
        <w:rPr>
          <w:rFonts w:ascii="Times New Roman" w:hAnsi="Times New Roman"/>
          <w:sz w:val="28"/>
          <w:szCs w:val="28"/>
        </w:rPr>
        <w:t>Третя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Г</w:t>
      </w:r>
      <w:r w:rsidR="001A6E9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ворухи В.І.</w:t>
      </w:r>
      <w:r w:rsidRPr="006166C9">
        <w:rPr>
          <w:rFonts w:ascii="Times New Roman" w:hAnsi="Times New Roman"/>
          <w:sz w:val="28"/>
          <w:szCs w:val="28"/>
        </w:rPr>
        <w:t>, членів</w:t>
      </w:r>
      <w:r w:rsidRPr="006166C9">
        <w:rPr>
          <w:rFonts w:ascii="Times New Roman" w:hAnsi="Times New Roman"/>
          <w:bCs/>
          <w:sz w:val="28"/>
          <w:szCs w:val="28"/>
          <w:lang w:eastAsia="ru-RU"/>
        </w:rPr>
        <w:t xml:space="preserve"> Гречківського П.М.,</w:t>
      </w:r>
      <w:r w:rsidRPr="006166C9">
        <w:rPr>
          <w:rFonts w:ascii="Times New Roman" w:hAnsi="Times New Roman"/>
          <w:sz w:val="28"/>
          <w:szCs w:val="28"/>
        </w:rPr>
        <w:t xml:space="preserve"> Іванової</w:t>
      </w:r>
      <w:r>
        <w:rPr>
          <w:rFonts w:ascii="Times New Roman" w:hAnsi="Times New Roman"/>
          <w:sz w:val="28"/>
          <w:szCs w:val="28"/>
        </w:rPr>
        <w:t xml:space="preserve"> Л.Б., Матвійчука В.В., </w:t>
      </w:r>
      <w:r w:rsidRPr="00BE7D42">
        <w:rPr>
          <w:rFonts w:ascii="Times New Roman" w:hAnsi="Times New Roman"/>
          <w:sz w:val="28"/>
          <w:szCs w:val="28"/>
        </w:rPr>
        <w:t>розглянувши висновок доповідача – члена Третьої Дисциплінарн</w:t>
      </w:r>
      <w:r>
        <w:rPr>
          <w:rFonts w:ascii="Times New Roman" w:hAnsi="Times New Roman"/>
          <w:sz w:val="28"/>
          <w:szCs w:val="28"/>
        </w:rPr>
        <w:t xml:space="preserve">ої палати Вищої ради правосуддя Швецової Л.А. </w:t>
      </w:r>
      <w:r w:rsidRPr="00BE7D42">
        <w:rPr>
          <w:rFonts w:ascii="Times New Roman" w:hAnsi="Times New Roman"/>
          <w:sz w:val="28"/>
          <w:szCs w:val="28"/>
        </w:rPr>
        <w:t>та додані до нього матеріали попередньої перевірки дисциплінарної скарги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24B62">
        <w:rPr>
          <w:rFonts w:ascii="Times New Roman" w:hAnsi="Times New Roman"/>
          <w:sz w:val="28"/>
          <w:szCs w:val="28"/>
        </w:rPr>
        <w:t xml:space="preserve">Лещика Віталія Віталійовича </w:t>
      </w:r>
      <w:r>
        <w:rPr>
          <w:rFonts w:ascii="Times New Roman" w:hAnsi="Times New Roman"/>
          <w:sz w:val="28"/>
          <w:szCs w:val="28"/>
        </w:rPr>
        <w:t xml:space="preserve">стосовно </w:t>
      </w:r>
      <w:r w:rsidRPr="00214649">
        <w:rPr>
          <w:rFonts w:ascii="Times New Roman" w:hAnsi="Times New Roman"/>
          <w:sz w:val="28"/>
          <w:szCs w:val="28"/>
        </w:rPr>
        <w:t>судді</w:t>
      </w:r>
      <w:r w:rsidR="00024B62">
        <w:rPr>
          <w:rFonts w:ascii="Times New Roman" w:hAnsi="Times New Roman"/>
          <w:sz w:val="28"/>
          <w:szCs w:val="28"/>
        </w:rPr>
        <w:t xml:space="preserve"> Хмельницького міськрайонного суду Хмельницької області Логінової Світлани Миколаївни</w:t>
      </w:r>
      <w:r>
        <w:rPr>
          <w:rFonts w:ascii="Times New Roman" w:hAnsi="Times New Roman"/>
          <w:sz w:val="28"/>
          <w:szCs w:val="28"/>
        </w:rPr>
        <w:t>,</w:t>
      </w:r>
    </w:p>
    <w:p w:rsidR="00214649" w:rsidRPr="00FA0F5A" w:rsidRDefault="00214649" w:rsidP="0021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14649" w:rsidRDefault="00214649" w:rsidP="0021464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214649" w:rsidRPr="00FA0F5A" w:rsidRDefault="00214649" w:rsidP="00214649">
      <w:pPr>
        <w:pStyle w:val="Style98"/>
        <w:widowControl/>
        <w:spacing w:line="240" w:lineRule="auto"/>
        <w:ind w:firstLine="709"/>
        <w:rPr>
          <w:color w:val="000000"/>
          <w:sz w:val="20"/>
          <w:szCs w:val="20"/>
        </w:rPr>
      </w:pPr>
    </w:p>
    <w:p w:rsidR="00024B62" w:rsidRPr="0090743A" w:rsidRDefault="00024B62" w:rsidP="00024B62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Вищої ради правосуддя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 грудня 2019</w:t>
      </w:r>
      <w:r w:rsidRPr="00D56B3D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br/>
        <w:t xml:space="preserve">№ Л-6681/0/7-19 </w:t>
      </w:r>
      <w:r w:rsidRPr="00D56B3D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дисциплінарна </w:t>
      </w:r>
      <w:r w:rsidRPr="00D56B3D">
        <w:rPr>
          <w:rFonts w:ascii="Times New Roman" w:hAnsi="Times New Roman"/>
          <w:sz w:val="28"/>
          <w:szCs w:val="28"/>
        </w:rPr>
        <w:t>скарг</w:t>
      </w:r>
      <w:r>
        <w:rPr>
          <w:rFonts w:ascii="Times New Roman" w:hAnsi="Times New Roman"/>
          <w:sz w:val="28"/>
          <w:szCs w:val="28"/>
        </w:rPr>
        <w:t xml:space="preserve">а Лещика В.В. на дії судді Хмельницького міськрайонного суду Хмельницької області Логінової С.М. під час розгляду справи № 686/18014/19 за позовом </w:t>
      </w:r>
      <w:r w:rsidR="0058090E">
        <w:rPr>
          <w:rFonts w:ascii="Times New Roman" w:hAnsi="Times New Roman"/>
          <w:sz w:val="28"/>
          <w:szCs w:val="28"/>
        </w:rPr>
        <w:t>Особа_1</w:t>
      </w:r>
      <w:r>
        <w:rPr>
          <w:rFonts w:ascii="Times New Roman" w:hAnsi="Times New Roman"/>
          <w:sz w:val="28"/>
          <w:szCs w:val="28"/>
        </w:rPr>
        <w:t xml:space="preserve"> до приватного підприємства «Фрі-Вест» про стягнення коштів.</w:t>
      </w:r>
    </w:p>
    <w:p w:rsidR="00024B62" w:rsidRPr="00E34B55" w:rsidRDefault="00024B62" w:rsidP="00024B62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своїй дисциплінарній скарзі Лещик В.В. зазначив, що суддею Хмельницького міськрайонного суду Хмельницької області  Логіновою С.М. під час розгляду справи № 686/18014/19 було допущено порушення засад рівності учасників процесу перед законом і судом, змагальності сторін та свободи в наданні ними суду своїх доказів і у доведенні перед судом їх переконливості.</w:t>
      </w:r>
    </w:p>
    <w:p w:rsidR="00024B62" w:rsidRPr="00DD473B" w:rsidRDefault="00024B62" w:rsidP="00024B6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57170">
        <w:rPr>
          <w:rFonts w:ascii="Times New Roman" w:hAnsi="Times New Roman"/>
          <w:sz w:val="28"/>
          <w:szCs w:val="28"/>
        </w:rPr>
        <w:t>У зв'язку з цим</w:t>
      </w:r>
      <w:r>
        <w:rPr>
          <w:rFonts w:ascii="Times New Roman" w:hAnsi="Times New Roman"/>
          <w:sz w:val="28"/>
          <w:szCs w:val="28"/>
        </w:rPr>
        <w:t xml:space="preserve"> Лещик В.В. </w:t>
      </w:r>
      <w:r w:rsidRPr="00D57170">
        <w:rPr>
          <w:rFonts w:ascii="Times New Roman" w:hAnsi="Times New Roman"/>
          <w:sz w:val="28"/>
          <w:szCs w:val="28"/>
        </w:rPr>
        <w:t>просить притягнути суддю</w:t>
      </w:r>
      <w:r w:rsidRPr="00FE18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Хмельницького міськрайонного суду Хмельницької області Логінову С.М. </w:t>
      </w:r>
      <w:r w:rsidRPr="00D57170">
        <w:rPr>
          <w:rFonts w:ascii="Times New Roman" w:hAnsi="Times New Roman"/>
          <w:sz w:val="28"/>
          <w:szCs w:val="28"/>
        </w:rPr>
        <w:t xml:space="preserve">до дисциплінарної відповідальності. </w:t>
      </w:r>
    </w:p>
    <w:p w:rsidR="00024B62" w:rsidRPr="00024B62" w:rsidRDefault="00024B62" w:rsidP="00024B62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7942BA">
        <w:rPr>
          <w:rFonts w:ascii="Times New Roman" w:hAnsi="Times New Roman"/>
          <w:sz w:val="28"/>
          <w:szCs w:val="28"/>
        </w:rPr>
        <w:t>Відповідно до протокол</w:t>
      </w:r>
      <w:r>
        <w:rPr>
          <w:rFonts w:ascii="Times New Roman" w:hAnsi="Times New Roman"/>
          <w:sz w:val="28"/>
          <w:szCs w:val="28"/>
        </w:rPr>
        <w:t>у</w:t>
      </w:r>
      <w:r w:rsidRPr="007942BA">
        <w:rPr>
          <w:rFonts w:ascii="Times New Roman" w:hAnsi="Times New Roman"/>
          <w:sz w:val="28"/>
          <w:szCs w:val="28"/>
        </w:rPr>
        <w:t xml:space="preserve"> автом</w:t>
      </w:r>
      <w:r>
        <w:rPr>
          <w:rFonts w:ascii="Times New Roman" w:hAnsi="Times New Roman"/>
          <w:sz w:val="28"/>
          <w:szCs w:val="28"/>
        </w:rPr>
        <w:t>атизованого розподілу справи</w:t>
      </w:r>
      <w:r w:rsidRPr="007942BA">
        <w:rPr>
          <w:rFonts w:ascii="Times New Roman" w:hAnsi="Times New Roman"/>
          <w:sz w:val="28"/>
          <w:szCs w:val="28"/>
        </w:rPr>
        <w:t xml:space="preserve"> між членами Вищої ради правосуддя</w:t>
      </w:r>
      <w:r>
        <w:rPr>
          <w:rFonts w:ascii="Times New Roman" w:hAnsi="Times New Roman"/>
          <w:sz w:val="28"/>
          <w:szCs w:val="28"/>
        </w:rPr>
        <w:t xml:space="preserve"> від 10 грудня 2019 року за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№</w:t>
      </w:r>
      <w:r w:rsidRPr="00BE51D5">
        <w:t xml:space="preserve"> </w:t>
      </w:r>
      <w:r>
        <w:rPr>
          <w:rFonts w:ascii="Times New Roman" w:hAnsi="Times New Roman"/>
          <w:sz w:val="28"/>
          <w:szCs w:val="28"/>
        </w:rPr>
        <w:t xml:space="preserve">Л-6681/0/7-19 </w:t>
      </w:r>
      <w:r w:rsidRPr="007942BA">
        <w:rPr>
          <w:rFonts w:ascii="Times New Roman" w:hAnsi="Times New Roman"/>
          <w:sz w:val="28"/>
          <w:szCs w:val="28"/>
        </w:rPr>
        <w:t>зазначен</w:t>
      </w:r>
      <w:r>
        <w:rPr>
          <w:rFonts w:ascii="Times New Roman" w:hAnsi="Times New Roman"/>
          <w:sz w:val="28"/>
          <w:szCs w:val="28"/>
        </w:rPr>
        <w:t>а</w:t>
      </w:r>
      <w:r w:rsidRPr="007942BA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а</w:t>
      </w:r>
      <w:r w:rsidRPr="007942BA">
        <w:rPr>
          <w:rFonts w:ascii="Times New Roman" w:hAnsi="Times New Roman"/>
          <w:sz w:val="28"/>
          <w:szCs w:val="28"/>
        </w:rPr>
        <w:t xml:space="preserve"> передан</w:t>
      </w:r>
      <w:r>
        <w:rPr>
          <w:rFonts w:ascii="Times New Roman" w:hAnsi="Times New Roman"/>
          <w:sz w:val="28"/>
          <w:szCs w:val="28"/>
        </w:rPr>
        <w:t>а</w:t>
      </w:r>
      <w:r w:rsidRPr="007942BA">
        <w:rPr>
          <w:rFonts w:ascii="Times New Roman" w:hAnsi="Times New Roman"/>
          <w:sz w:val="28"/>
          <w:szCs w:val="28"/>
        </w:rPr>
        <w:t xml:space="preserve"> для розгляду </w:t>
      </w:r>
      <w:r w:rsidRPr="00017ED4">
        <w:rPr>
          <w:rFonts w:ascii="Times New Roman" w:hAnsi="Times New Roman"/>
          <w:sz w:val="28"/>
          <w:szCs w:val="28"/>
        </w:rPr>
        <w:t>член</w:t>
      </w:r>
      <w:r>
        <w:rPr>
          <w:rFonts w:ascii="Times New Roman" w:hAnsi="Times New Roman"/>
          <w:sz w:val="28"/>
          <w:szCs w:val="28"/>
        </w:rPr>
        <w:t>у</w:t>
      </w:r>
      <w:r w:rsidRPr="00017ED4">
        <w:rPr>
          <w:rFonts w:ascii="Times New Roman" w:hAnsi="Times New Roman"/>
          <w:sz w:val="28"/>
          <w:szCs w:val="28"/>
        </w:rPr>
        <w:t xml:space="preserve"> Вищої ради правосуддя </w:t>
      </w:r>
      <w:r>
        <w:rPr>
          <w:rFonts w:ascii="Times New Roman" w:hAnsi="Times New Roman"/>
          <w:sz w:val="28"/>
          <w:szCs w:val="28"/>
        </w:rPr>
        <w:t>Швецовій Л.А.</w:t>
      </w:r>
      <w:r w:rsidRPr="007942BA">
        <w:rPr>
          <w:rFonts w:ascii="Times New Roman" w:hAnsi="Times New Roman"/>
          <w:sz w:val="28"/>
          <w:szCs w:val="28"/>
        </w:rPr>
        <w:t xml:space="preserve"> </w:t>
      </w:r>
    </w:p>
    <w:p w:rsidR="00214649" w:rsidRPr="005E3632" w:rsidRDefault="00214649" w:rsidP="00214649">
      <w:pPr>
        <w:pStyle w:val="Style98"/>
        <w:widowControl/>
        <w:spacing w:line="240" w:lineRule="auto"/>
        <w:ind w:firstLine="709"/>
        <w:rPr>
          <w:color w:val="000000"/>
        </w:rPr>
      </w:pPr>
      <w:r w:rsidRPr="005E3632">
        <w:rPr>
          <w:color w:val="000000"/>
        </w:rPr>
        <w:t>За результатами попередньої перевірки дисциплінарн</w:t>
      </w:r>
      <w:r>
        <w:rPr>
          <w:color w:val="000000"/>
        </w:rPr>
        <w:t>ої</w:t>
      </w:r>
      <w:r w:rsidRPr="005E3632">
        <w:rPr>
          <w:color w:val="000000"/>
        </w:rPr>
        <w:t xml:space="preserve"> скарг</w:t>
      </w:r>
      <w:r>
        <w:rPr>
          <w:color w:val="000000"/>
        </w:rPr>
        <w:t>и</w:t>
      </w:r>
      <w:r w:rsidRPr="005E3632">
        <w:rPr>
          <w:color w:val="000000"/>
        </w:rPr>
        <w:t xml:space="preserve"> член</w:t>
      </w:r>
      <w:r>
        <w:rPr>
          <w:color w:val="000000"/>
        </w:rPr>
        <w:t>ом</w:t>
      </w:r>
      <w:r w:rsidRPr="005E3632">
        <w:rPr>
          <w:color w:val="000000"/>
        </w:rPr>
        <w:t xml:space="preserve"> Третьої Дисциплінарної палати</w:t>
      </w:r>
      <w:r>
        <w:rPr>
          <w:color w:val="000000"/>
        </w:rPr>
        <w:t xml:space="preserve"> Швецовою Л.А.</w:t>
      </w:r>
      <w:r w:rsidRPr="005E3632">
        <w:rPr>
          <w:color w:val="000000"/>
        </w:rPr>
        <w:t xml:space="preserve"> </w:t>
      </w:r>
      <w:r>
        <w:rPr>
          <w:color w:val="000000"/>
        </w:rPr>
        <w:t>складено висновок з</w:t>
      </w:r>
      <w:r w:rsidRPr="005E3632">
        <w:rPr>
          <w:color w:val="000000"/>
        </w:rPr>
        <w:t xml:space="preserve"> пропозиці</w:t>
      </w:r>
      <w:r>
        <w:rPr>
          <w:color w:val="000000"/>
        </w:rPr>
        <w:t>є</w:t>
      </w:r>
      <w:r w:rsidRPr="005E3632">
        <w:rPr>
          <w:color w:val="000000"/>
        </w:rPr>
        <w:t xml:space="preserve">ю </w:t>
      </w:r>
      <w:r>
        <w:rPr>
          <w:color w:val="000000"/>
        </w:rPr>
        <w:t xml:space="preserve">про </w:t>
      </w:r>
      <w:r w:rsidRPr="005E3632">
        <w:t>залиш</w:t>
      </w:r>
      <w:r>
        <w:t>ення</w:t>
      </w:r>
      <w:r w:rsidRPr="005E3632">
        <w:t xml:space="preserve"> </w:t>
      </w:r>
      <w:r>
        <w:t>скарги</w:t>
      </w:r>
      <w:r w:rsidRPr="005E3632">
        <w:t xml:space="preserve"> без розгляду та поверн</w:t>
      </w:r>
      <w:r>
        <w:t>ення</w:t>
      </w:r>
      <w:r w:rsidRPr="005E3632">
        <w:t xml:space="preserve"> </w:t>
      </w:r>
      <w:r>
        <w:t xml:space="preserve">її </w:t>
      </w:r>
      <w:r w:rsidRPr="005E3632">
        <w:rPr>
          <w:color w:val="000000"/>
        </w:rPr>
        <w:t>скаржник</w:t>
      </w:r>
      <w:r>
        <w:rPr>
          <w:color w:val="000000"/>
        </w:rPr>
        <w:t>у</w:t>
      </w:r>
      <w:r w:rsidRPr="005E3632">
        <w:rPr>
          <w:color w:val="000000"/>
        </w:rPr>
        <w:t>.</w:t>
      </w:r>
    </w:p>
    <w:p w:rsidR="00214649" w:rsidRPr="00ED4D59" w:rsidRDefault="00214649" w:rsidP="00214649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Pr="005E363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аслухавши доповідача – члена Третьої Дисциплінарної палати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Швецову Л.А. та дослідивши матеріали попередньої перевірки</w:t>
      </w:r>
      <w:r w:rsidRPr="005E363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Третя Дисциплінарна палата Вищої ради правосуддя дійшла висновку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 наявність підстав для 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>залиш</w:t>
      </w:r>
      <w:r>
        <w:rPr>
          <w:rFonts w:ascii="Times New Roman" w:hAnsi="Times New Roman" w:cs="Times New Roman"/>
          <w:b w:val="0"/>
          <w:sz w:val="28"/>
          <w:szCs w:val="28"/>
        </w:rPr>
        <w:t>ення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 xml:space="preserve"> дисциплінарн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5E363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24B62">
        <w:rPr>
          <w:rFonts w:ascii="Times New Roman" w:hAnsi="Times New Roman"/>
          <w:b w:val="0"/>
          <w:sz w:val="28"/>
          <w:szCs w:val="28"/>
        </w:rPr>
        <w:t xml:space="preserve">Лещика В.В. </w:t>
      </w:r>
      <w:r w:rsidRPr="005E3632">
        <w:rPr>
          <w:rStyle w:val="FontStyle14"/>
          <w:b w:val="0"/>
          <w:sz w:val="28"/>
          <w:szCs w:val="28"/>
        </w:rPr>
        <w:t xml:space="preserve">стосовно </w:t>
      </w:r>
      <w:r w:rsidRPr="00214649">
        <w:rPr>
          <w:rStyle w:val="FontStyle14"/>
          <w:b w:val="0"/>
          <w:sz w:val="28"/>
          <w:szCs w:val="28"/>
        </w:rPr>
        <w:t>судді</w:t>
      </w:r>
      <w:r w:rsidRPr="00214649">
        <w:rPr>
          <w:rFonts w:ascii="Times New Roman" w:hAnsi="Times New Roman"/>
          <w:b w:val="0"/>
          <w:sz w:val="28"/>
          <w:szCs w:val="28"/>
        </w:rPr>
        <w:t xml:space="preserve"> </w:t>
      </w:r>
      <w:r w:rsidR="00024B62">
        <w:rPr>
          <w:rFonts w:ascii="Times New Roman" w:hAnsi="Times New Roman"/>
          <w:b w:val="0"/>
          <w:sz w:val="28"/>
          <w:szCs w:val="28"/>
        </w:rPr>
        <w:t>Хмельницького міськрайонного суду Хмельницької області</w:t>
      </w:r>
      <w:r w:rsidR="003F684D">
        <w:rPr>
          <w:rFonts w:ascii="Times New Roman" w:hAnsi="Times New Roman"/>
          <w:b w:val="0"/>
          <w:sz w:val="28"/>
          <w:szCs w:val="28"/>
        </w:rPr>
        <w:t xml:space="preserve"> Логінової С.В. </w:t>
      </w:r>
      <w:r w:rsidRPr="00ED4D59">
        <w:rPr>
          <w:rFonts w:ascii="Times New Roman" w:hAnsi="Times New Roman" w:cs="Times New Roman"/>
          <w:b w:val="0"/>
          <w:sz w:val="28"/>
          <w:szCs w:val="28"/>
        </w:rPr>
        <w:t xml:space="preserve">без розгляду та повернення її </w:t>
      </w:r>
      <w:r w:rsidRPr="00ED4D59">
        <w:rPr>
          <w:rFonts w:ascii="Times New Roman" w:hAnsi="Times New Roman" w:cs="Times New Roman"/>
          <w:b w:val="0"/>
          <w:color w:val="000000"/>
          <w:sz w:val="28"/>
          <w:szCs w:val="28"/>
        </w:rPr>
        <w:t>скаржнику з огляду на таке.</w:t>
      </w:r>
    </w:p>
    <w:p w:rsidR="00214649" w:rsidRPr="00ED4D59" w:rsidRDefault="00214649" w:rsidP="002146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 статті 108 Закону України «Про судоустрій і статус суддів» дисциплінарне провадження щодо судді здійснюють дисциплінарн</w:t>
      </w:r>
      <w:r w:rsidR="001A6E95">
        <w:rPr>
          <w:rFonts w:ascii="Times New Roman" w:eastAsia="Times New Roman" w:hAnsi="Times New Roman" w:cs="Times New Roman"/>
          <w:color w:val="000000"/>
          <w:sz w:val="28"/>
          <w:szCs w:val="28"/>
        </w:rPr>
        <w:t>і палати Вищої ради правосуддя у</w:t>
      </w: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порядку, визначеному Законом України «Про Вищу раду правосуддя», з урахуванням вимог цього Закону.</w:t>
      </w:r>
    </w:p>
    <w:p w:rsidR="00214649" w:rsidRPr="00ED4D59" w:rsidRDefault="00214649" w:rsidP="002146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Дисциплінарне провадження щодо суддів проводиться за правилами та в строки, встановлені Главою 4 Закону України «Про Вищу раду правосуддя».</w:t>
      </w:r>
    </w:p>
    <w:p w:rsidR="00214649" w:rsidRDefault="00214649" w:rsidP="00214649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ED4D59">
        <w:rPr>
          <w:color w:val="000000"/>
          <w:sz w:val="28"/>
          <w:szCs w:val="28"/>
        </w:rPr>
        <w:t xml:space="preserve">Відповідно до пункту 3 </w:t>
      </w:r>
      <w:r w:rsidRPr="00ED4D59">
        <w:rPr>
          <w:sz w:val="28"/>
          <w:szCs w:val="28"/>
        </w:rPr>
        <w:t>частини першої статті 43 Закону України                       «Про Вищу раду правосуддя» член</w:t>
      </w:r>
      <w:r w:rsidRPr="005E3632">
        <w:rPr>
          <w:sz w:val="28"/>
          <w:szCs w:val="28"/>
        </w:rPr>
        <w:t xml:space="preserve"> Дисциплінарної палати, визначений для попередньої перевірки відповідної дисциплінарної скарги (доповідач)</w:t>
      </w:r>
      <w:r>
        <w:rPr>
          <w:sz w:val="28"/>
          <w:szCs w:val="28"/>
        </w:rPr>
        <w:t>,</w:t>
      </w:r>
      <w:r w:rsidRPr="005E3632">
        <w:rPr>
          <w:sz w:val="28"/>
          <w:szCs w:val="28"/>
        </w:rPr>
        <w:t xml:space="preserve"> за наявності підстав, визначених пунктом 6 частини першої статті 44 цього Закону,</w:t>
      </w:r>
      <w:r w:rsidR="001A6E95">
        <w:rPr>
          <w:sz w:val="28"/>
          <w:szCs w:val="28"/>
        </w:rPr>
        <w:t xml:space="preserve"> -</w:t>
      </w:r>
      <w:r w:rsidRPr="005E3632">
        <w:rPr>
          <w:sz w:val="28"/>
          <w:szCs w:val="28"/>
        </w:rPr>
        <w:t xml:space="preserve">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справи.</w:t>
      </w:r>
    </w:p>
    <w:p w:rsidR="00214649" w:rsidRDefault="00214649" w:rsidP="0021464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 xml:space="preserve">Третьою Дисциплінарною палатою Вищої </w:t>
      </w:r>
      <w:r w:rsidR="001A6E9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>ради правосуддя встановлено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 xml:space="preserve">. </w:t>
      </w:r>
    </w:p>
    <w:p w:rsidR="003F684D" w:rsidRDefault="003F684D" w:rsidP="003F684D">
      <w:pPr>
        <w:pStyle w:val="HTML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Логінова Світлана Миколаївна Указом Президента Ук</w:t>
      </w:r>
      <w:r w:rsidR="001A6E9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раїни від 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2 лютого </w:t>
      </w:r>
      <w:r w:rsidR="001A6E9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2002 року № 96/2002 призначена на посаду судді Хмельницького міськрайонного суду Хмельницької області строком на п’ять років, Постановою Верховної Ради України від 5 квітня 2007 року № 878-</w:t>
      </w:r>
      <w:r>
        <w:rPr>
          <w:rFonts w:ascii="Times New Roman" w:hAnsi="Times New Roman"/>
          <w:color w:val="000000"/>
          <w:sz w:val="28"/>
          <w:szCs w:val="24"/>
          <w:lang w:val="en-US" w:eastAsia="ru-RU"/>
        </w:rPr>
        <w:t>V</w:t>
      </w:r>
      <w:r w:rsidRPr="00F75441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обрана суддею цього ж суду безстроково.</w:t>
      </w:r>
    </w:p>
    <w:p w:rsidR="003F684D" w:rsidRDefault="001A6E95" w:rsidP="003F684D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          </w:t>
      </w:r>
      <w:r w:rsidR="003F684D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В провадженні судді Хмельницького міськрайонного суду Хмельницької області Логінової С.М. перебувала справа за </w:t>
      </w:r>
      <w:r w:rsidR="003F684D">
        <w:rPr>
          <w:rFonts w:ascii="Times New Roman" w:hAnsi="Times New Roman"/>
          <w:sz w:val="28"/>
          <w:szCs w:val="28"/>
        </w:rPr>
        <w:t>п</w:t>
      </w:r>
      <w:r w:rsidR="0058090E">
        <w:rPr>
          <w:rFonts w:ascii="Times New Roman" w:hAnsi="Times New Roman"/>
          <w:sz w:val="28"/>
          <w:szCs w:val="28"/>
        </w:rPr>
        <w:t>озовом                Особа_1</w:t>
      </w:r>
      <w:r w:rsidR="003F684D">
        <w:rPr>
          <w:rFonts w:ascii="Times New Roman" w:hAnsi="Times New Roman"/>
          <w:sz w:val="28"/>
          <w:szCs w:val="28"/>
        </w:rPr>
        <w:t xml:space="preserve"> до приватного підприємства «Фрі-Вест» про стягнення коштів.</w:t>
      </w:r>
      <w:r w:rsidR="003F684D">
        <w:rPr>
          <w:rFonts w:ascii="Times New Roman" w:hAnsi="Times New Roman"/>
          <w:sz w:val="28"/>
          <w:szCs w:val="28"/>
        </w:rPr>
        <w:tab/>
      </w:r>
      <w:r w:rsidR="003F684D">
        <w:rPr>
          <w:rFonts w:ascii="Times New Roman" w:hAnsi="Times New Roman"/>
          <w:sz w:val="28"/>
          <w:szCs w:val="28"/>
        </w:rPr>
        <w:tab/>
      </w:r>
    </w:p>
    <w:p w:rsidR="003F684D" w:rsidRDefault="001A6E95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F684D" w:rsidRPr="00FD6C1A">
        <w:rPr>
          <w:rFonts w:ascii="Times New Roman" w:hAnsi="Times New Roman" w:cs="Times New Roman"/>
          <w:sz w:val="28"/>
          <w:szCs w:val="28"/>
        </w:rPr>
        <w:t>Ухвалою судді Хмельницького міськрайонного суду</w:t>
      </w:r>
      <w:r w:rsidR="003F684D">
        <w:rPr>
          <w:rFonts w:ascii="Times New Roman" w:hAnsi="Times New Roman" w:cs="Times New Roman"/>
          <w:sz w:val="28"/>
          <w:szCs w:val="28"/>
        </w:rPr>
        <w:t xml:space="preserve"> Хмельницької області від 12 липня </w:t>
      </w:r>
      <w:r w:rsidR="003F684D" w:rsidRPr="00FD6C1A">
        <w:rPr>
          <w:rFonts w:ascii="Times New Roman" w:hAnsi="Times New Roman" w:cs="Times New Roman"/>
          <w:sz w:val="28"/>
          <w:szCs w:val="28"/>
        </w:rPr>
        <w:t>2019 року позовна заява прийнята до розгляду та відкрито провадження у справі за правилами загального позовного провадження.</w:t>
      </w:r>
      <w:r w:rsidR="003F684D" w:rsidRPr="00FD6C1A">
        <w:rPr>
          <w:rFonts w:ascii="Times New Roman" w:hAnsi="Times New Roman" w:cs="Times New Roman"/>
          <w:sz w:val="28"/>
          <w:szCs w:val="28"/>
        </w:rPr>
        <w:tab/>
      </w:r>
      <w:r w:rsidR="003F684D" w:rsidRPr="00FD6C1A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1A6E95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F684D" w:rsidRPr="00FD6C1A">
        <w:rPr>
          <w:rFonts w:ascii="Times New Roman" w:hAnsi="Times New Roman" w:cs="Times New Roman"/>
          <w:sz w:val="28"/>
          <w:szCs w:val="28"/>
        </w:rPr>
        <w:t>Ухвалою Хмельницького міськрайонного суду</w:t>
      </w:r>
      <w:r w:rsidR="003F684D">
        <w:rPr>
          <w:rFonts w:ascii="Times New Roman" w:hAnsi="Times New Roman" w:cs="Times New Roman"/>
          <w:sz w:val="28"/>
          <w:szCs w:val="28"/>
        </w:rPr>
        <w:t xml:space="preserve"> Хмельницької області</w:t>
      </w:r>
      <w:r w:rsidR="003F684D" w:rsidRPr="00FD6C1A">
        <w:rPr>
          <w:rFonts w:ascii="Times New Roman" w:hAnsi="Times New Roman" w:cs="Times New Roman"/>
          <w:sz w:val="28"/>
          <w:szCs w:val="28"/>
        </w:rPr>
        <w:t xml:space="preserve"> від 21 серпня 2019 року закрито підготовче провадження та призначена справа до судового розгляду.</w:t>
      </w:r>
      <w:r w:rsidR="003F684D" w:rsidRPr="00FD6C1A">
        <w:rPr>
          <w:rFonts w:ascii="Times New Roman" w:hAnsi="Times New Roman" w:cs="Times New Roman"/>
          <w:sz w:val="28"/>
          <w:szCs w:val="28"/>
        </w:rPr>
        <w:tab/>
      </w:r>
      <w:r w:rsidR="003F684D" w:rsidRPr="00FD6C1A">
        <w:rPr>
          <w:rFonts w:ascii="Times New Roman" w:hAnsi="Times New Roman" w:cs="Times New Roman"/>
          <w:sz w:val="28"/>
          <w:szCs w:val="28"/>
        </w:rPr>
        <w:tab/>
      </w:r>
      <w:r w:rsidR="003F684D">
        <w:rPr>
          <w:rFonts w:ascii="Times New Roman" w:hAnsi="Times New Roman" w:cs="Times New Roman"/>
          <w:sz w:val="28"/>
          <w:szCs w:val="28"/>
        </w:rPr>
        <w:tab/>
      </w:r>
      <w:r w:rsidR="003F684D">
        <w:rPr>
          <w:rFonts w:ascii="Times New Roman" w:hAnsi="Times New Roman" w:cs="Times New Roman"/>
          <w:sz w:val="28"/>
          <w:szCs w:val="28"/>
        </w:rPr>
        <w:tab/>
      </w:r>
      <w:r w:rsidR="003F684D">
        <w:rPr>
          <w:rFonts w:ascii="Times New Roman" w:hAnsi="Times New Roman" w:cs="Times New Roman"/>
          <w:sz w:val="28"/>
          <w:szCs w:val="28"/>
        </w:rPr>
        <w:tab/>
      </w:r>
      <w:r w:rsid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1A6E95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F684D">
        <w:rPr>
          <w:rFonts w:ascii="Times New Roman" w:hAnsi="Times New Roman" w:cs="Times New Roman"/>
          <w:sz w:val="28"/>
          <w:szCs w:val="28"/>
        </w:rPr>
        <w:t>Вказаною ухвалою також в</w:t>
      </w:r>
      <w:r w:rsidR="003F684D" w:rsidRPr="00FD6C1A">
        <w:rPr>
          <w:rFonts w:ascii="Times New Roman" w:hAnsi="Times New Roman" w:cs="Times New Roman"/>
          <w:sz w:val="28"/>
          <w:szCs w:val="28"/>
        </w:rPr>
        <w:t>ідмовлено у зад</w:t>
      </w:r>
      <w:r w:rsidR="003F684D">
        <w:rPr>
          <w:rFonts w:ascii="Times New Roman" w:hAnsi="Times New Roman" w:cs="Times New Roman"/>
          <w:sz w:val="28"/>
          <w:szCs w:val="28"/>
        </w:rPr>
        <w:t>оволенні клопотання про залучення</w:t>
      </w:r>
      <w:r w:rsidR="003F684D" w:rsidRPr="00FD6C1A">
        <w:rPr>
          <w:rFonts w:ascii="Times New Roman" w:hAnsi="Times New Roman" w:cs="Times New Roman"/>
          <w:sz w:val="28"/>
          <w:szCs w:val="28"/>
        </w:rPr>
        <w:t xml:space="preserve"> третьої особи без самостійних вимог</w:t>
      </w:r>
      <w:r w:rsidR="003F684D">
        <w:rPr>
          <w:rFonts w:ascii="Times New Roman" w:hAnsi="Times New Roman" w:cs="Times New Roman"/>
          <w:sz w:val="28"/>
          <w:szCs w:val="28"/>
        </w:rPr>
        <w:t xml:space="preserve"> Лещика В.В.</w:t>
      </w:r>
      <w:r w:rsidR="003F684D" w:rsidRPr="00FD6C1A">
        <w:rPr>
          <w:rFonts w:ascii="Times New Roman" w:hAnsi="Times New Roman" w:cs="Times New Roman"/>
          <w:sz w:val="28"/>
          <w:szCs w:val="28"/>
        </w:rPr>
        <w:t>, як спа</w:t>
      </w:r>
      <w:r w:rsidR="003F684D">
        <w:rPr>
          <w:rFonts w:ascii="Times New Roman" w:hAnsi="Times New Roman" w:cs="Times New Roman"/>
          <w:sz w:val="28"/>
          <w:szCs w:val="28"/>
        </w:rPr>
        <w:t>дкоємця першої черги за законом</w:t>
      </w:r>
      <w:r w:rsidR="003F684D" w:rsidRPr="00FD6C1A">
        <w:rPr>
          <w:rFonts w:ascii="Times New Roman" w:hAnsi="Times New Roman" w:cs="Times New Roman"/>
          <w:sz w:val="28"/>
          <w:szCs w:val="28"/>
        </w:rPr>
        <w:t>, після смерті засновника підприємства «Фрі Вест», оскільки позов пред`явлено до юридичної особи - підприємства «Фрі Вест».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684D">
        <w:rPr>
          <w:rFonts w:ascii="Times New Roman" w:hAnsi="Times New Roman" w:cs="Times New Roman"/>
          <w:sz w:val="28"/>
          <w:szCs w:val="28"/>
        </w:rPr>
        <w:t xml:space="preserve">Рішенням судді Хмельницького міськрайонного суду Хмельницької області від 4 листопада 2019 року задоволено </w:t>
      </w:r>
      <w:r w:rsidR="0058090E">
        <w:rPr>
          <w:rFonts w:ascii="Times New Roman" w:hAnsi="Times New Roman" w:cs="Times New Roman"/>
          <w:sz w:val="28"/>
          <w:szCs w:val="28"/>
        </w:rPr>
        <w:t>позов Особа_1</w:t>
      </w:r>
      <w:r w:rsidR="003F684D" w:rsidRPr="00FD6C1A">
        <w:rPr>
          <w:rFonts w:ascii="Times New Roman" w:hAnsi="Times New Roman" w:cs="Times New Roman"/>
          <w:sz w:val="28"/>
          <w:szCs w:val="28"/>
        </w:rPr>
        <w:t xml:space="preserve"> до приватного </w:t>
      </w:r>
      <w:r w:rsidR="003F684D" w:rsidRPr="00FD6C1A">
        <w:rPr>
          <w:rFonts w:ascii="Times New Roman" w:hAnsi="Times New Roman" w:cs="Times New Roman"/>
          <w:sz w:val="28"/>
          <w:szCs w:val="28"/>
        </w:rPr>
        <w:lastRenderedPageBreak/>
        <w:t xml:space="preserve">підприємства «Фрі Вест» про стягнення коштів. </w:t>
      </w:r>
      <w:r w:rsidR="003F684D">
        <w:rPr>
          <w:rFonts w:ascii="Times New Roman" w:hAnsi="Times New Roman" w:cs="Times New Roman"/>
          <w:sz w:val="28"/>
          <w:szCs w:val="28"/>
        </w:rPr>
        <w:t>Стягнуто</w:t>
      </w:r>
      <w:r w:rsidR="003F684D" w:rsidRPr="00FD6C1A">
        <w:rPr>
          <w:rFonts w:ascii="Times New Roman" w:hAnsi="Times New Roman" w:cs="Times New Roman"/>
          <w:sz w:val="28"/>
          <w:szCs w:val="28"/>
        </w:rPr>
        <w:t xml:space="preserve"> з приватного підприємства «Фрі Вест» (код ЄДРПОУ 31285905) на користь </w:t>
      </w:r>
      <w:r w:rsidR="0058090E">
        <w:rPr>
          <w:rFonts w:ascii="Times New Roman" w:hAnsi="Times New Roman" w:cs="Times New Roman"/>
          <w:sz w:val="28"/>
          <w:szCs w:val="28"/>
        </w:rPr>
        <w:t>Особа_1</w:t>
      </w:r>
      <w:r w:rsidR="003F684D">
        <w:rPr>
          <w:rFonts w:ascii="Times New Roman" w:hAnsi="Times New Roman" w:cs="Times New Roman"/>
          <w:sz w:val="28"/>
          <w:szCs w:val="28"/>
        </w:rPr>
        <w:t xml:space="preserve"> </w:t>
      </w:r>
      <w:r w:rsidR="003F684D" w:rsidRPr="00FD6C1A">
        <w:rPr>
          <w:rFonts w:ascii="Times New Roman" w:hAnsi="Times New Roman" w:cs="Times New Roman"/>
          <w:sz w:val="28"/>
          <w:szCs w:val="28"/>
        </w:rPr>
        <w:t>кошти в сумі 1704061(один мільйон сімсот чотири тисячі шістдесят одна) грн.</w:t>
      </w:r>
      <w:r w:rsidR="003F684D">
        <w:rPr>
          <w:rFonts w:ascii="Times New Roman" w:hAnsi="Times New Roman" w:cs="Times New Roman"/>
          <w:sz w:val="28"/>
          <w:szCs w:val="28"/>
        </w:rPr>
        <w:t xml:space="preserve"> </w:t>
      </w:r>
      <w:r w:rsidR="003F684D" w:rsidRPr="00FD6C1A">
        <w:rPr>
          <w:rFonts w:ascii="Times New Roman" w:hAnsi="Times New Roman" w:cs="Times New Roman"/>
          <w:sz w:val="28"/>
          <w:szCs w:val="28"/>
        </w:rPr>
        <w:t>99 коп</w:t>
      </w:r>
      <w:r w:rsidR="003F684D">
        <w:rPr>
          <w:rFonts w:ascii="Times New Roman" w:hAnsi="Times New Roman" w:cs="Times New Roman"/>
          <w:sz w:val="28"/>
          <w:szCs w:val="28"/>
        </w:rPr>
        <w:t>. Стягнуто</w:t>
      </w:r>
      <w:r w:rsidR="003F684D" w:rsidRPr="00FD6C1A">
        <w:rPr>
          <w:rFonts w:ascii="Times New Roman" w:hAnsi="Times New Roman" w:cs="Times New Roman"/>
          <w:sz w:val="28"/>
          <w:szCs w:val="28"/>
        </w:rPr>
        <w:t xml:space="preserve"> з прив</w:t>
      </w:r>
      <w:r w:rsidR="003F684D">
        <w:rPr>
          <w:rFonts w:ascii="Times New Roman" w:hAnsi="Times New Roman" w:cs="Times New Roman"/>
          <w:sz w:val="28"/>
          <w:szCs w:val="28"/>
        </w:rPr>
        <w:t xml:space="preserve">атного підприємства </w:t>
      </w:r>
      <w:r w:rsidR="0058090E">
        <w:rPr>
          <w:rFonts w:ascii="Times New Roman" w:hAnsi="Times New Roman" w:cs="Times New Roman"/>
          <w:sz w:val="28"/>
          <w:szCs w:val="28"/>
        </w:rPr>
        <w:t>«Фрі Вест» на користь Особа_1</w:t>
      </w:r>
      <w:r w:rsidR="003F684D" w:rsidRPr="00FD6C1A">
        <w:rPr>
          <w:rFonts w:ascii="Times New Roman" w:hAnsi="Times New Roman" w:cs="Times New Roman"/>
          <w:sz w:val="28"/>
          <w:szCs w:val="28"/>
        </w:rPr>
        <w:t xml:space="preserve"> судовий збір у сумі 9605 грн.</w:t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вказаному рішенні суддя Логінова С.М. зазначила, що </w:t>
      </w:r>
      <w:r w:rsidRPr="00232005">
        <w:rPr>
          <w:rFonts w:ascii="Times New Roman" w:hAnsi="Times New Roman" w:cs="Times New Roman"/>
          <w:sz w:val="28"/>
          <w:szCs w:val="28"/>
        </w:rPr>
        <w:t xml:space="preserve">відповідач у судове засідання не прибув, повідомлений про час та місце судового розгляду, відзив на позов не направив, причини неявки </w:t>
      </w:r>
      <w:r>
        <w:rPr>
          <w:rFonts w:ascii="Times New Roman" w:hAnsi="Times New Roman" w:cs="Times New Roman"/>
          <w:sz w:val="28"/>
          <w:szCs w:val="28"/>
        </w:rPr>
        <w:t xml:space="preserve">суду не повідомив. Суд дійшов </w:t>
      </w:r>
      <w:r w:rsidRPr="00232005">
        <w:rPr>
          <w:rFonts w:ascii="Times New Roman" w:hAnsi="Times New Roman" w:cs="Times New Roman"/>
          <w:sz w:val="28"/>
          <w:szCs w:val="28"/>
        </w:rPr>
        <w:t xml:space="preserve"> висновку, що слід ухвалити заочне рішення на підставі наявних у справі доказів, представник позивача не заперечив про</w:t>
      </w:r>
      <w:r>
        <w:rPr>
          <w:rFonts w:ascii="Times New Roman" w:hAnsi="Times New Roman" w:cs="Times New Roman"/>
          <w:sz w:val="28"/>
          <w:szCs w:val="28"/>
        </w:rPr>
        <w:t>ти ухвалення заочного рішення у</w:t>
      </w:r>
      <w:r w:rsidRPr="00232005">
        <w:rPr>
          <w:rFonts w:ascii="Times New Roman" w:hAnsi="Times New Roman" w:cs="Times New Roman"/>
          <w:sz w:val="28"/>
          <w:szCs w:val="28"/>
        </w:rPr>
        <w:t xml:space="preserve"> справі.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F684D" w:rsidRPr="00232005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2005">
        <w:rPr>
          <w:rFonts w:ascii="Times New Roman" w:hAnsi="Times New Roman" w:cs="Times New Roman"/>
          <w:sz w:val="28"/>
          <w:szCs w:val="28"/>
        </w:rPr>
        <w:t xml:space="preserve">Судом було </w:t>
      </w:r>
      <w:r>
        <w:rPr>
          <w:rFonts w:ascii="Times New Roman" w:hAnsi="Times New Roman" w:cs="Times New Roman"/>
          <w:sz w:val="28"/>
          <w:szCs w:val="28"/>
        </w:rPr>
        <w:t xml:space="preserve">встановлено, що 19 грудня </w:t>
      </w:r>
      <w:r w:rsidRPr="00232005">
        <w:rPr>
          <w:rFonts w:ascii="Times New Roman" w:hAnsi="Times New Roman" w:cs="Times New Roman"/>
          <w:sz w:val="28"/>
          <w:szCs w:val="28"/>
        </w:rPr>
        <w:t>2007 року між акціонерним комерційним інноваційним банком «УкрСиббанк» та приватним підприємством «Фрі Вест» був укладений кредитний договір № 11270752000.</w:t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F684D">
        <w:rPr>
          <w:rFonts w:ascii="Times New Roman" w:hAnsi="Times New Roman" w:cs="Times New Roman"/>
          <w:sz w:val="28"/>
          <w:szCs w:val="28"/>
        </w:rPr>
        <w:t xml:space="preserve">Відповідно до пункту 1.1. укладеного кредитного договору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84D">
        <w:rPr>
          <w:rFonts w:ascii="Times New Roman" w:hAnsi="Times New Roman" w:cs="Times New Roman"/>
          <w:sz w:val="28"/>
          <w:szCs w:val="28"/>
        </w:rPr>
        <w:t>№ 11270752000 від 19 грудня 2007 року АКІБ «УкрСиббанк» надав приватному підприємству «Фрі Вест» кредит в сумі 1 767 500 грн.</w:t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>Відповідно до пункту 2.1. укладеного кредитного договору в забезпечення виконання зобов`язань приватного підприємства «Фрі Вест» щодо повернення отриманих кредитних коштів був уклад</w:t>
      </w:r>
      <w:r w:rsidR="0058090E">
        <w:rPr>
          <w:rFonts w:ascii="Times New Roman" w:hAnsi="Times New Roman" w:cs="Times New Roman"/>
          <w:sz w:val="28"/>
          <w:szCs w:val="28"/>
        </w:rPr>
        <w:t>ений договір поруки з Особа_1</w:t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>19</w:t>
      </w:r>
      <w:r w:rsidR="0058090E">
        <w:rPr>
          <w:rFonts w:ascii="Times New Roman" w:hAnsi="Times New Roman" w:cs="Times New Roman"/>
          <w:sz w:val="28"/>
          <w:szCs w:val="28"/>
        </w:rPr>
        <w:t xml:space="preserve"> грудня 2007 року між Особа_1</w:t>
      </w:r>
      <w:r w:rsidRPr="003F684D">
        <w:rPr>
          <w:rFonts w:ascii="Times New Roman" w:hAnsi="Times New Roman" w:cs="Times New Roman"/>
          <w:sz w:val="28"/>
          <w:szCs w:val="28"/>
        </w:rPr>
        <w:t xml:space="preserve"> та акціонерним комерційним інноваційним банком «УкрСиббанк» був укладений договір поруки № 166449, відповідно</w:t>
      </w:r>
      <w:r w:rsidR="0058090E">
        <w:rPr>
          <w:rFonts w:ascii="Times New Roman" w:hAnsi="Times New Roman" w:cs="Times New Roman"/>
          <w:sz w:val="28"/>
          <w:szCs w:val="28"/>
        </w:rPr>
        <w:t xml:space="preserve"> до пункту 1.1. якого Особа_1</w:t>
      </w:r>
      <w:r w:rsidRPr="003F684D">
        <w:rPr>
          <w:rFonts w:ascii="Times New Roman" w:hAnsi="Times New Roman" w:cs="Times New Roman"/>
          <w:sz w:val="28"/>
          <w:szCs w:val="28"/>
        </w:rPr>
        <w:t>, як поручитель, брала на себе зобов`язання відповідати перед АКІБ «УкрСиббанк» за зобов`язаннями приватного підприємства «Фрі Вест», які виникли в останнього відповідно до укладеного кредитного договору №11270752000 від 19 грудня 2007 року.</w:t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 xml:space="preserve">Так як приватне підприємство «Фрі Вест» у встановлений кредитним договором строк не приступило до погашення отриманого кредиту,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8090E">
        <w:rPr>
          <w:rFonts w:ascii="Times New Roman" w:hAnsi="Times New Roman" w:cs="Times New Roman"/>
          <w:sz w:val="28"/>
          <w:szCs w:val="28"/>
        </w:rPr>
        <w:t>Особа_1</w:t>
      </w:r>
      <w:r w:rsidRPr="003F684D">
        <w:rPr>
          <w:rFonts w:ascii="Times New Roman" w:hAnsi="Times New Roman" w:cs="Times New Roman"/>
          <w:sz w:val="28"/>
          <w:szCs w:val="28"/>
        </w:rPr>
        <w:t>, як поручитель, зобов`язана була виплачувати заборгованість приватного підприємства «Фрі Вест» перед АКІБ «УкрСиббанк» за отримані кредитні кошти, згідно умов укладеного договору поруки № 16644</w:t>
      </w:r>
      <w:r>
        <w:rPr>
          <w:rFonts w:ascii="Times New Roman" w:hAnsi="Times New Roman" w:cs="Times New Roman"/>
          <w:sz w:val="28"/>
          <w:szCs w:val="28"/>
        </w:rPr>
        <w:t xml:space="preserve">9 від                    19 грудня </w:t>
      </w:r>
      <w:r w:rsidRPr="003F684D">
        <w:rPr>
          <w:rFonts w:ascii="Times New Roman" w:hAnsi="Times New Roman" w:cs="Times New Roman"/>
          <w:sz w:val="28"/>
          <w:szCs w:val="28"/>
        </w:rPr>
        <w:t xml:space="preserve">2007 року та вимог </w:t>
      </w:r>
      <w:hyperlink r:id="rId8" w:anchor="843624" w:tgtFrame="_blank" w:tooltip="Цивільний кодекс України; нормативно-правовий акт № 435-IV від 16.01.2003" w:history="1">
        <w:r w:rsidRPr="003F684D">
          <w:rPr>
            <w:rStyle w:val="a9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статті 554 ЦК України</w:t>
        </w:r>
      </w:hyperlink>
      <w:r w:rsidRPr="003F684D">
        <w:rPr>
          <w:rFonts w:ascii="Times New Roman" w:hAnsi="Times New Roman" w:cs="Times New Roman"/>
          <w:sz w:val="28"/>
          <w:szCs w:val="28"/>
        </w:rPr>
        <w:t>.</w:t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090E">
        <w:rPr>
          <w:rFonts w:ascii="Times New Roman" w:hAnsi="Times New Roman" w:cs="Times New Roman"/>
          <w:sz w:val="28"/>
          <w:szCs w:val="28"/>
        </w:rPr>
        <w:t>Особа_1</w:t>
      </w:r>
      <w:r w:rsidRPr="003F684D">
        <w:rPr>
          <w:rFonts w:ascii="Times New Roman" w:hAnsi="Times New Roman" w:cs="Times New Roman"/>
          <w:sz w:val="28"/>
          <w:szCs w:val="28"/>
        </w:rPr>
        <w:t>, як поручитель приватного підприємства «Фрі Вест» виплатила АКІБ «УкрСиббанк» в рахунок погашення кредиторської заборгованості за кредитним договором № 11270752000 в</w:t>
      </w:r>
      <w:r>
        <w:rPr>
          <w:rFonts w:ascii="Times New Roman" w:hAnsi="Times New Roman" w:cs="Times New Roman"/>
          <w:sz w:val="28"/>
          <w:szCs w:val="28"/>
        </w:rPr>
        <w:t xml:space="preserve">ід 19 грудня                 </w:t>
      </w:r>
      <w:r w:rsidRPr="003F684D">
        <w:rPr>
          <w:rFonts w:ascii="Times New Roman" w:hAnsi="Times New Roman" w:cs="Times New Roman"/>
          <w:sz w:val="28"/>
          <w:szCs w:val="28"/>
        </w:rPr>
        <w:t>2007 року грошові кошти в сумі 1704061,99 грн., що підтверджується банківськими виписками по особовому рахунку.</w:t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 xml:space="preserve">В зв`язку з цим, відповідно до умов пункту 2.1. укладеного кредитного договору № 11270752000 від 19 грудня 2007 року, пунктів 1.3, 2.4 договору поруки № 166449 від 19 грудня 2007 року, приписами </w:t>
      </w:r>
      <w:hyperlink r:id="rId9" w:anchor="843626" w:tgtFrame="_blank" w:tooltip="Цивільний кодекс України; нормативно-правовий акт № 435-IV від 16.01.2003" w:history="1">
        <w:r w:rsidRPr="003F684D">
          <w:rPr>
            <w:rStyle w:val="a9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статті 556 ЦК України</w:t>
        </w:r>
      </w:hyperlink>
      <w:r w:rsidRPr="003F684D">
        <w:rPr>
          <w:rFonts w:ascii="Times New Roman" w:hAnsi="Times New Roman" w:cs="Times New Roman"/>
          <w:sz w:val="28"/>
          <w:szCs w:val="28"/>
        </w:rPr>
        <w:t>, приватне підприємство «Фрі Вест»</w:t>
      </w:r>
      <w:r w:rsidR="0058090E">
        <w:rPr>
          <w:rFonts w:ascii="Times New Roman" w:hAnsi="Times New Roman" w:cs="Times New Roman"/>
          <w:sz w:val="28"/>
          <w:szCs w:val="28"/>
        </w:rPr>
        <w:t xml:space="preserve"> зобов`язано сплатити Особа_1</w:t>
      </w:r>
      <w:r w:rsidRPr="003F684D">
        <w:rPr>
          <w:rFonts w:ascii="Times New Roman" w:hAnsi="Times New Roman" w:cs="Times New Roman"/>
          <w:sz w:val="28"/>
          <w:szCs w:val="28"/>
        </w:rPr>
        <w:t xml:space="preserve"> грошові кошти в сумі 1704061,99 грн., які вона виплатила АКІБ «УкрСиббанк» як поручитель за приватне підприємство «Фрі Вест».</w:t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F684D">
        <w:rPr>
          <w:rFonts w:ascii="Times New Roman" w:hAnsi="Times New Roman" w:cs="Times New Roman"/>
          <w:sz w:val="28"/>
          <w:szCs w:val="28"/>
        </w:rPr>
        <w:t xml:space="preserve">Так як приватне підприємство «Фрі Вест» ухиляється від сплати грошових коштів в </w:t>
      </w:r>
      <w:r w:rsidR="0058090E">
        <w:rPr>
          <w:rFonts w:ascii="Times New Roman" w:hAnsi="Times New Roman" w:cs="Times New Roman"/>
          <w:sz w:val="28"/>
          <w:szCs w:val="28"/>
        </w:rPr>
        <w:t>сумі 1704061,99 грн., Особа_1</w:t>
      </w:r>
      <w:r w:rsidRPr="003F684D">
        <w:rPr>
          <w:rFonts w:ascii="Times New Roman" w:hAnsi="Times New Roman" w:cs="Times New Roman"/>
          <w:sz w:val="28"/>
          <w:szCs w:val="28"/>
        </w:rPr>
        <w:t>, вимушена була звернутись за захистом свого порушеного права.</w:t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sz w:val="28"/>
          <w:szCs w:val="28"/>
        </w:rPr>
        <w:t xml:space="preserve">Відповідно до частини другої </w:t>
      </w:r>
      <w:hyperlink r:id="rId10" w:anchor="843626" w:tgtFrame="_blank" w:tooltip="Цивільний кодекс України; нормативно-правовий акт № 435-IV від 16.01.2003" w:history="1">
        <w:r w:rsidRPr="003F684D">
          <w:rPr>
            <w:rStyle w:val="a9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статті 556 ЦК України</w:t>
        </w:r>
      </w:hyperlink>
      <w:r w:rsidRPr="003F684D">
        <w:rPr>
          <w:rFonts w:ascii="Times New Roman" w:hAnsi="Times New Roman" w:cs="Times New Roman"/>
          <w:sz w:val="28"/>
          <w:szCs w:val="28"/>
        </w:rPr>
        <w:t xml:space="preserve"> до поручителя, який виконав зобов`язання, забезпечене порукою, переходять усі права кредитора у цьому зобов`язані, в тому числі й ті, що забезпечували його виконання.</w:t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3F684D" w:rsidRDefault="003F684D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F684D">
        <w:rPr>
          <w:rFonts w:ascii="Times New Roman" w:hAnsi="Times New Roman" w:cs="Times New Roman"/>
          <w:sz w:val="28"/>
          <w:szCs w:val="28"/>
        </w:rPr>
        <w:tab/>
        <w:t>Ухвалою Хмельницького апеляційного суду від 27 грудня 2019 року поновлено  Лещику В.В.  строк на апеляційне оскарження рішення Хмельницького міськрайонного суду Хмельницької області від 4 листопада 2019 року та відкрито апеляційне провадження за апеляційною скаргою                 Лещика В.В. на рішення Хмельницького міськрайонного суду Хмельницької області від 4 листопада 2019 року у цивіль</w:t>
      </w:r>
      <w:r w:rsidR="0058090E">
        <w:rPr>
          <w:rFonts w:ascii="Times New Roman" w:hAnsi="Times New Roman" w:cs="Times New Roman"/>
          <w:sz w:val="28"/>
          <w:szCs w:val="28"/>
        </w:rPr>
        <w:t>ній справі за позовом Особа_1</w:t>
      </w:r>
      <w:r w:rsidRPr="003F684D">
        <w:rPr>
          <w:rFonts w:ascii="Times New Roman" w:hAnsi="Times New Roman" w:cs="Times New Roman"/>
          <w:sz w:val="28"/>
          <w:szCs w:val="28"/>
        </w:rPr>
        <w:t xml:space="preserve"> до приватного підприємства «ФРІ ВЕСТ» про стягнення коштів.</w:t>
      </w:r>
      <w:r w:rsidRPr="003F684D">
        <w:rPr>
          <w:rFonts w:ascii="Times New Roman" w:hAnsi="Times New Roman" w:cs="Times New Roman"/>
          <w:sz w:val="28"/>
          <w:szCs w:val="28"/>
        </w:rPr>
        <w:tab/>
      </w:r>
    </w:p>
    <w:p w:rsidR="00214649" w:rsidRPr="003F684D" w:rsidRDefault="003F684D" w:rsidP="003F684D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F684D">
        <w:rPr>
          <w:rFonts w:ascii="Times New Roman" w:hAnsi="Times New Roman" w:cs="Times New Roman"/>
          <w:sz w:val="28"/>
          <w:szCs w:val="28"/>
        </w:rPr>
        <w:tab/>
      </w:r>
      <w:r w:rsidRPr="003F684D">
        <w:rPr>
          <w:rFonts w:ascii="Times New Roman" w:hAnsi="Times New Roman" w:cs="Times New Roman"/>
          <w:color w:val="000000"/>
          <w:sz w:val="28"/>
          <w:szCs w:val="28"/>
        </w:rPr>
        <w:t xml:space="preserve">На даний час Хмельницьким апеляційним судом рішення у справі                   </w:t>
      </w:r>
      <w:r w:rsidRPr="003F684D">
        <w:rPr>
          <w:rFonts w:ascii="Times New Roman" w:hAnsi="Times New Roman" w:cs="Times New Roman"/>
          <w:sz w:val="28"/>
          <w:szCs w:val="28"/>
        </w:rPr>
        <w:t xml:space="preserve">№ 686/18014/19 </w:t>
      </w:r>
      <w:r w:rsidRPr="003F684D">
        <w:rPr>
          <w:rFonts w:ascii="Times New Roman" w:hAnsi="Times New Roman" w:cs="Times New Roman"/>
          <w:color w:val="000000"/>
          <w:sz w:val="28"/>
          <w:szCs w:val="28"/>
        </w:rPr>
        <w:t xml:space="preserve"> за результатами перегляду справи в апеляційному порядку не прийнято.    </w:t>
      </w:r>
      <w:r w:rsidRPr="003F684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F684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F684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14649" w:rsidRPr="00B64206" w:rsidRDefault="00214649" w:rsidP="00214649">
      <w:pPr>
        <w:pStyle w:val="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B6420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Вища рада правосуддя </w:t>
      </w:r>
      <w:r w:rsidRPr="00B64206">
        <w:rPr>
          <w:rFonts w:ascii="Times New Roman" w:hAnsi="Times New Roman" w:cs="Times New Roman"/>
          <w:bCs/>
          <w:sz w:val="28"/>
          <w:szCs w:val="28"/>
        </w:rPr>
        <w:t xml:space="preserve">згідно зі статтею 131 Конституції України, статтею 3 Закону України «Про Вищу раду правосуддя» не є органом, що здійснює судочинство, </w:t>
      </w:r>
      <w:r w:rsidRPr="00B6420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не наділена повноваженнями оцінювати законність судового рішення, перевіряти його правовий зміст. Виключне право перевірки законності та обґрунтованості судових рішень має відповідний суд згідно з процесуальним законодавством.</w:t>
      </w:r>
    </w:p>
    <w:p w:rsidR="00214649" w:rsidRPr="00B64206" w:rsidRDefault="00214649" w:rsidP="00214649">
      <w:pPr>
        <w:pStyle w:val="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B6420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Відповідно до статті 367 ЦПК України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скарги; досліджує докази, що стосується фактів, на які учасники справи посилаються в апеляційній скарзі та (або) відзиві на неї. Суд апеляційної інстанції не обмежений доводами та вимогами апеляційної скарги, якщо під час розгляду справи буде встановлено порушення норм процесуального права, які є обов’язковою підставою для скасування рішення, або неправильне застосування норм матеріального права. Якщо поза увагою доводів апеляційної скарги залишилася очевидна незаконність або необґрунтованість рішення суду першої інстанції у справах окремого провадження, суд апеляційної інстанції переглядає справу в повному обсязі.         </w:t>
      </w:r>
    </w:p>
    <w:p w:rsidR="00214649" w:rsidRPr="008F709D" w:rsidRDefault="00214649" w:rsidP="008F709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64206">
        <w:rPr>
          <w:rFonts w:ascii="Times New Roman" w:eastAsia="Times New Roman" w:hAnsi="Times New Roman"/>
          <w:color w:val="000000"/>
          <w:sz w:val="28"/>
          <w:szCs w:val="28"/>
        </w:rPr>
        <w:t xml:space="preserve">Викладені у дисциплінарній скарзі доводи фактично зводяться до незгоди з процесуальними діями судді під час розгляду справи, </w:t>
      </w:r>
      <w:r w:rsidRPr="00B64206">
        <w:rPr>
          <w:rFonts w:ascii="Times New Roman" w:eastAsia="Times New Roman" w:hAnsi="Times New Roman"/>
          <w:sz w:val="28"/>
          <w:szCs w:val="28"/>
          <w:lang w:eastAsia="uk-UA"/>
        </w:rPr>
        <w:t>а також з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правовими висновками суду, мотивами та обґрунтуванням ухваленого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ним судового 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>рішення, правильність яких із точки зору застосування судом норм матеріального права чи дотримання норм процесуального права може бути перевірена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та оцінена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 xml:space="preserve"> лише судом вищої інстанції у порядку, передбаченому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Ц</w:t>
      </w:r>
      <w:r w:rsidR="00FA0F5A">
        <w:rPr>
          <w:rFonts w:ascii="Times New Roman" w:eastAsia="Times New Roman" w:hAnsi="Times New Roman"/>
          <w:sz w:val="28"/>
          <w:szCs w:val="28"/>
          <w:lang w:eastAsia="uk-UA"/>
        </w:rPr>
        <w:t>ПК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 xml:space="preserve"> України.</w:t>
      </w:r>
    </w:p>
    <w:p w:rsidR="00214649" w:rsidRPr="00B64206" w:rsidRDefault="00214649" w:rsidP="002146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Пунктом 6 частини першої статті 44 Закону України </w:t>
      </w:r>
      <w:r w:rsidRPr="00A03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Вищу раду правосуддя» </w:t>
      </w: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передбачено, що дисциплінарна скарга залишається без розгляду </w:t>
      </w:r>
      <w:r w:rsidRPr="00A0347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 повертається скаржнику, якщо скарга ґрунтується лише на доводах, що можуть бути </w:t>
      </w:r>
      <w:r w:rsidRPr="00B64206">
        <w:rPr>
          <w:rFonts w:ascii="Times New Roman" w:eastAsia="Calibri" w:hAnsi="Times New Roman" w:cs="Times New Roman"/>
          <w:sz w:val="28"/>
          <w:szCs w:val="28"/>
        </w:rPr>
        <w:t>перевірені виключно судом вищої інстанції в порядку, передбаченому процесуальним законом.</w:t>
      </w:r>
    </w:p>
    <w:p w:rsidR="00D60BD0" w:rsidRPr="003F684D" w:rsidRDefault="00214649" w:rsidP="003F68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4206">
        <w:rPr>
          <w:rFonts w:ascii="Times New Roman" w:hAnsi="Times New Roman" w:cs="Times New Roman"/>
          <w:sz w:val="28"/>
          <w:szCs w:val="28"/>
        </w:rPr>
        <w:t>Враховуючи наведені вище обставини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B642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Третя Дисциплінарна палата Вищої ради правосуддя дійшла висновку, що дисциплінарна скарга підлягає залишенню без розгляду та поверненню скаржнику на підставі пункту</w:t>
      </w:r>
      <w:r w:rsidRPr="00B6420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B64206">
        <w:rPr>
          <w:rFonts w:ascii="Times New Roman" w:eastAsia="Times New Roman" w:hAnsi="Times New Roman" w:cs="Times New Roman"/>
          <w:sz w:val="28"/>
          <w:szCs w:val="28"/>
          <w:lang w:eastAsia="uk-UA"/>
        </w:rPr>
        <w:t>6 частини першої статті 44 Закону України «Про Вищу раду правосуддя»</w:t>
      </w:r>
      <w:r w:rsidRPr="00B6420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Pr="00B642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A0F5A" w:rsidRPr="00D60BD0" w:rsidRDefault="00214649" w:rsidP="00D60B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206">
        <w:rPr>
          <w:rFonts w:ascii="Times New Roman" w:eastAsia="Calibri" w:hAnsi="Times New Roman" w:cs="Times New Roman"/>
          <w:sz w:val="28"/>
          <w:szCs w:val="28"/>
        </w:rPr>
        <w:t>Керуючись</w:t>
      </w: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 статтями 42–44 Закону України «Про Вищу раду правосуддя», Третя Дисциплінарна палата Вищої ради правосуддя </w:t>
      </w:r>
    </w:p>
    <w:p w:rsidR="00214649" w:rsidRPr="00A03477" w:rsidRDefault="00214649" w:rsidP="0021464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A0347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4649" w:rsidRPr="00A03477" w:rsidRDefault="00214649" w:rsidP="002146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sz w:val="28"/>
          <w:szCs w:val="28"/>
        </w:rPr>
        <w:t>дисциплінарн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8F709D" w:rsidRPr="008F709D">
        <w:rPr>
          <w:rFonts w:ascii="Times New Roman" w:hAnsi="Times New Roman"/>
          <w:sz w:val="28"/>
          <w:szCs w:val="28"/>
        </w:rPr>
        <w:t xml:space="preserve"> </w:t>
      </w:r>
      <w:r w:rsidR="003F684D">
        <w:rPr>
          <w:rFonts w:ascii="Times New Roman" w:hAnsi="Times New Roman"/>
          <w:sz w:val="28"/>
          <w:szCs w:val="28"/>
        </w:rPr>
        <w:t xml:space="preserve">Лещика Віталія Віталійовича </w:t>
      </w:r>
      <w:r w:rsidR="008F709D">
        <w:rPr>
          <w:rFonts w:ascii="Times New Roman" w:eastAsia="Calibri" w:hAnsi="Times New Roman" w:cs="Times New Roman"/>
          <w:sz w:val="28"/>
          <w:szCs w:val="28"/>
        </w:rPr>
        <w:t xml:space="preserve">стосовно </w:t>
      </w:r>
      <w:r w:rsidR="008F709D" w:rsidRPr="00214649">
        <w:rPr>
          <w:rFonts w:ascii="Times New Roman" w:eastAsia="Calibri" w:hAnsi="Times New Roman" w:cs="Times New Roman"/>
          <w:sz w:val="28"/>
          <w:szCs w:val="28"/>
        </w:rPr>
        <w:t xml:space="preserve">судді </w:t>
      </w:r>
      <w:r w:rsidR="003F684D">
        <w:rPr>
          <w:rFonts w:ascii="Times New Roman" w:hAnsi="Times New Roman"/>
          <w:sz w:val="28"/>
          <w:szCs w:val="28"/>
        </w:rPr>
        <w:t xml:space="preserve">Хмельницького міськрайонного суду Хмельницької області </w:t>
      </w:r>
      <w:r w:rsidR="001A6E95">
        <w:rPr>
          <w:rFonts w:ascii="Times New Roman" w:hAnsi="Times New Roman"/>
          <w:sz w:val="28"/>
          <w:szCs w:val="28"/>
        </w:rPr>
        <w:t xml:space="preserve">                 </w:t>
      </w:r>
      <w:r w:rsidR="003F684D">
        <w:rPr>
          <w:rFonts w:ascii="Times New Roman" w:hAnsi="Times New Roman"/>
          <w:sz w:val="28"/>
          <w:szCs w:val="28"/>
        </w:rPr>
        <w:t>Логінової Світлани Миколаївни</w:t>
      </w:r>
      <w:r w:rsidR="003F684D" w:rsidRPr="00A034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3477">
        <w:rPr>
          <w:rFonts w:ascii="Times New Roman" w:eastAsia="Calibri" w:hAnsi="Times New Roman" w:cs="Times New Roman"/>
          <w:sz w:val="28"/>
          <w:szCs w:val="28"/>
        </w:rPr>
        <w:t>залишити без розгляду та повернути скаржник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034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649" w:rsidRPr="006166C9" w:rsidRDefault="00214649" w:rsidP="0021464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A03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214649" w:rsidRPr="00A03477" w:rsidRDefault="00214649" w:rsidP="002146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214649" w:rsidRPr="00A03477" w:rsidTr="003A796C">
        <w:trPr>
          <w:trHeight w:val="1004"/>
        </w:trPr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Головуючий на засіданні 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Третьої Дисциплінарної палати 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Вищої ради правосуддя</w:t>
            </w:r>
          </w:p>
        </w:tc>
        <w:tc>
          <w:tcPr>
            <w:tcW w:w="3119" w:type="dxa"/>
          </w:tcPr>
          <w:p w:rsidR="00214649" w:rsidRPr="00652708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4649" w:rsidRPr="00652708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4649" w:rsidRPr="00652708" w:rsidRDefault="008F709D" w:rsidP="008F709D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В.І. Говоруха</w:t>
            </w:r>
          </w:p>
        </w:tc>
      </w:tr>
      <w:tr w:rsidR="00214649" w:rsidRPr="00A03477" w:rsidTr="003A796C"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214649" w:rsidRDefault="00214649" w:rsidP="003A796C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П.М. Гречківський </w:t>
            </w:r>
          </w:p>
          <w:p w:rsidR="00214649" w:rsidRPr="00652708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Л.Б. Іванова</w:t>
            </w: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В.В. Матвійчук</w:t>
            </w: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4649" w:rsidRPr="00652708" w:rsidRDefault="00214649" w:rsidP="003A796C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4649" w:rsidRPr="00A03477" w:rsidTr="003A796C"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3119" w:type="dxa"/>
          </w:tcPr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5D75" w:rsidRDefault="00D35D75"/>
    <w:sectPr w:rsidR="00D35D75" w:rsidSect="00447D99">
      <w:headerReference w:type="default" r:id="rId11"/>
      <w:pgSz w:w="11906" w:h="16838"/>
      <w:pgMar w:top="1134" w:right="70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232" w:rsidRDefault="00DE6232" w:rsidP="0005556C">
      <w:pPr>
        <w:spacing w:after="0" w:line="240" w:lineRule="auto"/>
      </w:pPr>
      <w:r>
        <w:separator/>
      </w:r>
    </w:p>
  </w:endnote>
  <w:endnote w:type="continuationSeparator" w:id="0">
    <w:p w:rsidR="00DE6232" w:rsidRDefault="00DE6232" w:rsidP="00055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232" w:rsidRDefault="00DE6232" w:rsidP="0005556C">
      <w:pPr>
        <w:spacing w:after="0" w:line="240" w:lineRule="auto"/>
      </w:pPr>
      <w:r>
        <w:separator/>
      </w:r>
    </w:p>
  </w:footnote>
  <w:footnote w:type="continuationSeparator" w:id="0">
    <w:p w:rsidR="00DE6232" w:rsidRDefault="00DE6232" w:rsidP="00055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CC" w:rsidRDefault="00776D5A">
    <w:pPr>
      <w:pStyle w:val="a3"/>
      <w:jc w:val="center"/>
    </w:pPr>
    <w:r>
      <w:fldChar w:fldCharType="begin"/>
    </w:r>
    <w:r w:rsidR="008F709D">
      <w:instrText xml:space="preserve"> PAGE   \* MERGEFORMAT </w:instrText>
    </w:r>
    <w:r>
      <w:fldChar w:fldCharType="separate"/>
    </w:r>
    <w:r w:rsidR="006D2274">
      <w:rPr>
        <w:noProof/>
      </w:rPr>
      <w:t>5</w:t>
    </w:r>
    <w:r>
      <w:rPr>
        <w:noProof/>
      </w:rPr>
      <w:fldChar w:fldCharType="end"/>
    </w:r>
  </w:p>
  <w:p w:rsidR="002434CC" w:rsidRDefault="00DE62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18E"/>
    <w:multiLevelType w:val="multilevel"/>
    <w:tmpl w:val="6B76EF1A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D0A7B"/>
    <w:multiLevelType w:val="hybridMultilevel"/>
    <w:tmpl w:val="E6865872"/>
    <w:lvl w:ilvl="0" w:tplc="7EC48F16">
      <w:start w:val="1"/>
      <w:numFmt w:val="decimal"/>
      <w:lvlText w:val="%1."/>
      <w:lvlJc w:val="left"/>
      <w:pPr>
        <w:ind w:left="8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80" w:hanging="360"/>
      </w:pPr>
    </w:lvl>
    <w:lvl w:ilvl="2" w:tplc="0422001B" w:tentative="1">
      <w:start w:val="1"/>
      <w:numFmt w:val="lowerRoman"/>
      <w:lvlText w:val="%3."/>
      <w:lvlJc w:val="right"/>
      <w:pPr>
        <w:ind w:left="2300" w:hanging="180"/>
      </w:pPr>
    </w:lvl>
    <w:lvl w:ilvl="3" w:tplc="0422000F" w:tentative="1">
      <w:start w:val="1"/>
      <w:numFmt w:val="decimal"/>
      <w:lvlText w:val="%4."/>
      <w:lvlJc w:val="left"/>
      <w:pPr>
        <w:ind w:left="3020" w:hanging="360"/>
      </w:pPr>
    </w:lvl>
    <w:lvl w:ilvl="4" w:tplc="04220019" w:tentative="1">
      <w:start w:val="1"/>
      <w:numFmt w:val="lowerLetter"/>
      <w:lvlText w:val="%5."/>
      <w:lvlJc w:val="left"/>
      <w:pPr>
        <w:ind w:left="3740" w:hanging="360"/>
      </w:pPr>
    </w:lvl>
    <w:lvl w:ilvl="5" w:tplc="0422001B" w:tentative="1">
      <w:start w:val="1"/>
      <w:numFmt w:val="lowerRoman"/>
      <w:lvlText w:val="%6."/>
      <w:lvlJc w:val="right"/>
      <w:pPr>
        <w:ind w:left="4460" w:hanging="180"/>
      </w:pPr>
    </w:lvl>
    <w:lvl w:ilvl="6" w:tplc="0422000F" w:tentative="1">
      <w:start w:val="1"/>
      <w:numFmt w:val="decimal"/>
      <w:lvlText w:val="%7."/>
      <w:lvlJc w:val="left"/>
      <w:pPr>
        <w:ind w:left="5180" w:hanging="360"/>
      </w:pPr>
    </w:lvl>
    <w:lvl w:ilvl="7" w:tplc="04220019" w:tentative="1">
      <w:start w:val="1"/>
      <w:numFmt w:val="lowerLetter"/>
      <w:lvlText w:val="%8."/>
      <w:lvlJc w:val="left"/>
      <w:pPr>
        <w:ind w:left="5900" w:hanging="360"/>
      </w:pPr>
    </w:lvl>
    <w:lvl w:ilvl="8" w:tplc="0422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20144616"/>
    <w:multiLevelType w:val="multilevel"/>
    <w:tmpl w:val="E0A49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649"/>
    <w:rsid w:val="00024B62"/>
    <w:rsid w:val="0005556C"/>
    <w:rsid w:val="00065581"/>
    <w:rsid w:val="001A6E95"/>
    <w:rsid w:val="001F73CC"/>
    <w:rsid w:val="00214649"/>
    <w:rsid w:val="002A095D"/>
    <w:rsid w:val="003D47B1"/>
    <w:rsid w:val="003F684D"/>
    <w:rsid w:val="0058090E"/>
    <w:rsid w:val="005A1B39"/>
    <w:rsid w:val="00627C19"/>
    <w:rsid w:val="00645518"/>
    <w:rsid w:val="006C2405"/>
    <w:rsid w:val="006D2274"/>
    <w:rsid w:val="00776D5A"/>
    <w:rsid w:val="008F709D"/>
    <w:rsid w:val="009A45F1"/>
    <w:rsid w:val="00B62ACF"/>
    <w:rsid w:val="00D35D75"/>
    <w:rsid w:val="00D60BD0"/>
    <w:rsid w:val="00D84652"/>
    <w:rsid w:val="00DE6232"/>
    <w:rsid w:val="00E610D9"/>
    <w:rsid w:val="00FA0F5A"/>
    <w:rsid w:val="00FB243B"/>
    <w:rsid w:val="00FF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46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14649"/>
  </w:style>
  <w:style w:type="character" w:customStyle="1" w:styleId="a5">
    <w:name w:val="Основний текст_"/>
    <w:basedOn w:val="a0"/>
    <w:link w:val="1"/>
    <w:rsid w:val="00214649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5"/>
    <w:rsid w:val="00214649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locked/>
    <w:rsid w:val="00214649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464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bCs/>
      <w:sz w:val="26"/>
      <w:szCs w:val="26"/>
    </w:rPr>
  </w:style>
  <w:style w:type="paragraph" w:customStyle="1" w:styleId="Style98">
    <w:name w:val="Style98"/>
    <w:basedOn w:val="a"/>
    <w:rsid w:val="00214649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214649"/>
    <w:rPr>
      <w:rFonts w:ascii="Times New Roman" w:hAnsi="Times New Roman" w:cs="Times New Roman" w:hint="default"/>
      <w:sz w:val="26"/>
      <w:szCs w:val="26"/>
    </w:rPr>
  </w:style>
  <w:style w:type="paragraph" w:customStyle="1" w:styleId="StyleZakonu">
    <w:name w:val="StyleZakonu"/>
    <w:basedOn w:val="a"/>
    <w:link w:val="StyleZakonu0"/>
    <w:rsid w:val="00214649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2146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214649"/>
    <w:pPr>
      <w:ind w:left="720"/>
      <w:contextualSpacing/>
    </w:pPr>
    <w:rPr>
      <w:rFonts w:ascii="Times New Roman" w:eastAsia="Calibri" w:hAnsi="Times New Roman" w:cs="Times New Roman"/>
      <w:sz w:val="24"/>
      <w:lang w:val="ru-RU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214649"/>
    <w:rPr>
      <w:rFonts w:ascii="Times New Roman" w:eastAsia="Calibri" w:hAnsi="Times New Roman" w:cs="Times New Roman"/>
      <w:sz w:val="24"/>
      <w:lang w:val="ru-RU"/>
    </w:rPr>
  </w:style>
  <w:style w:type="paragraph" w:styleId="a8">
    <w:name w:val="No Spacing"/>
    <w:uiPriority w:val="1"/>
    <w:qFormat/>
    <w:rsid w:val="00214649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2146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1464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9">
    <w:name w:val="Hyperlink"/>
    <w:basedOn w:val="a0"/>
    <w:uiPriority w:val="99"/>
    <w:semiHidden/>
    <w:unhideWhenUsed/>
    <w:rsid w:val="003F684D"/>
    <w:rPr>
      <w:color w:val="0000FF"/>
      <w:u w:val="single"/>
    </w:rPr>
  </w:style>
  <w:style w:type="paragraph" w:customStyle="1" w:styleId="rvps2">
    <w:name w:val="rvps2"/>
    <w:basedOn w:val="a"/>
    <w:rsid w:val="003F6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843624/ed_2019_11_02/pravo1/T030435.html?pravo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search.ligazakon.ua/l_doc2.nsf/link1/an_843626/ed_2019_11_02/pravo1/T030435.html?prav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an_843626/ed_2019_11_02/pravo1/T030435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7738</Words>
  <Characters>4411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15</cp:revision>
  <cp:lastPrinted>2020-01-28T10:08:00Z</cp:lastPrinted>
  <dcterms:created xsi:type="dcterms:W3CDTF">2019-12-04T07:37:00Z</dcterms:created>
  <dcterms:modified xsi:type="dcterms:W3CDTF">2020-01-30T12:28:00Z</dcterms:modified>
</cp:coreProperties>
</file>