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DF4" w:rsidRDefault="00871DF4" w:rsidP="00871DF4">
      <w:pPr>
        <w:spacing w:before="360" w:after="60"/>
        <w:jc w:val="center"/>
        <w:rPr>
          <w:rFonts w:ascii="AcademyC" w:hAnsi="AcademyC"/>
          <w:b/>
          <w:color w:val="002060"/>
          <w:sz w:val="22"/>
        </w:rPr>
      </w:pPr>
      <w:r>
        <w:rPr>
          <w:noProof/>
          <w:lang w:eastAsia="uk-UA"/>
        </w:rPr>
        <w:drawing>
          <wp:anchor distT="0" distB="0" distL="114300" distR="114300" simplePos="0" relativeHeight="251660288"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sz w:val="22"/>
        </w:rPr>
        <w:t>УКРАЇНА</w:t>
      </w:r>
    </w:p>
    <w:p w:rsidR="00871DF4" w:rsidRDefault="00871DF4" w:rsidP="00871DF4">
      <w:pPr>
        <w:spacing w:after="60"/>
        <w:jc w:val="center"/>
        <w:rPr>
          <w:rFonts w:ascii="AcademyC" w:hAnsi="AcademyC"/>
          <w:b/>
          <w:color w:val="002060"/>
        </w:rPr>
      </w:pPr>
      <w:r>
        <w:rPr>
          <w:rFonts w:ascii="AcademyC" w:hAnsi="AcademyC"/>
          <w:b/>
          <w:color w:val="002060"/>
        </w:rPr>
        <w:t>ВИЩА  РАДА  ПРАВОСУДДЯ</w:t>
      </w:r>
    </w:p>
    <w:p w:rsidR="00871DF4" w:rsidRDefault="00871DF4" w:rsidP="00871DF4">
      <w:pPr>
        <w:spacing w:after="240"/>
        <w:jc w:val="center"/>
        <w:rPr>
          <w:rFonts w:ascii="AcademyC" w:hAnsi="AcademyC"/>
          <w:b/>
          <w:color w:val="002060"/>
        </w:rPr>
      </w:pPr>
      <w:r>
        <w:rPr>
          <w:rFonts w:ascii="AcademyC" w:hAnsi="AcademyC"/>
          <w:b/>
          <w:color w:val="002060"/>
        </w:rPr>
        <w:t>РІШЕННЯ</w:t>
      </w:r>
    </w:p>
    <w:tbl>
      <w:tblPr>
        <w:tblW w:w="12672" w:type="dxa"/>
        <w:tblLook w:val="04A0"/>
      </w:tblPr>
      <w:tblGrid>
        <w:gridCol w:w="3369"/>
        <w:gridCol w:w="2550"/>
        <w:gridCol w:w="993"/>
        <w:gridCol w:w="5760"/>
      </w:tblGrid>
      <w:tr w:rsidR="00871DF4" w:rsidTr="00E6103B">
        <w:trPr>
          <w:trHeight w:val="188"/>
        </w:trPr>
        <w:tc>
          <w:tcPr>
            <w:tcW w:w="3369" w:type="dxa"/>
            <w:hideMark/>
          </w:tcPr>
          <w:p w:rsidR="00871DF4" w:rsidRDefault="00871DF4" w:rsidP="00E6103B">
            <w:pPr>
              <w:ind w:right="-2"/>
              <w:rPr>
                <w:b/>
                <w:noProof/>
                <w:color w:val="000000"/>
                <w:sz w:val="27"/>
                <w:szCs w:val="27"/>
              </w:rPr>
            </w:pPr>
          </w:p>
          <w:p w:rsidR="00871DF4" w:rsidRPr="00145AA1" w:rsidRDefault="00871DF4" w:rsidP="00871DF4">
            <w:pPr>
              <w:ind w:right="-2"/>
              <w:rPr>
                <w:b/>
                <w:noProof/>
                <w:color w:val="000000"/>
                <w:sz w:val="27"/>
                <w:szCs w:val="27"/>
              </w:rPr>
            </w:pPr>
            <w:r>
              <w:rPr>
                <w:b/>
                <w:noProof/>
                <w:color w:val="000000"/>
                <w:sz w:val="27"/>
                <w:szCs w:val="27"/>
              </w:rPr>
              <w:t>3 березня 2020</w:t>
            </w:r>
            <w:r w:rsidRPr="00145AA1">
              <w:rPr>
                <w:b/>
                <w:noProof/>
                <w:color w:val="000000"/>
                <w:sz w:val="27"/>
                <w:szCs w:val="27"/>
              </w:rPr>
              <w:t xml:space="preserve"> року </w:t>
            </w:r>
          </w:p>
        </w:tc>
        <w:tc>
          <w:tcPr>
            <w:tcW w:w="3543" w:type="dxa"/>
            <w:gridSpan w:val="2"/>
            <w:hideMark/>
          </w:tcPr>
          <w:p w:rsidR="00871DF4" w:rsidRPr="00145AA1" w:rsidRDefault="00871DF4" w:rsidP="00E6103B">
            <w:pPr>
              <w:ind w:right="-2" w:hanging="109"/>
              <w:jc w:val="center"/>
              <w:rPr>
                <w:b/>
                <w:noProof/>
                <w:color w:val="000000"/>
                <w:sz w:val="27"/>
                <w:szCs w:val="27"/>
              </w:rPr>
            </w:pPr>
            <w:r w:rsidRPr="00145AA1">
              <w:rPr>
                <w:b/>
                <w:color w:val="000000"/>
                <w:sz w:val="27"/>
                <w:szCs w:val="27"/>
              </w:rPr>
              <w:t>Київ</w:t>
            </w:r>
          </w:p>
        </w:tc>
        <w:tc>
          <w:tcPr>
            <w:tcW w:w="5760" w:type="dxa"/>
            <w:hideMark/>
          </w:tcPr>
          <w:p w:rsidR="00871DF4" w:rsidRDefault="00871DF4" w:rsidP="00E6103B">
            <w:pPr>
              <w:ind w:left="459" w:right="-2"/>
              <w:rPr>
                <w:b/>
                <w:color w:val="000000"/>
                <w:sz w:val="27"/>
                <w:szCs w:val="27"/>
              </w:rPr>
            </w:pPr>
            <w:r w:rsidRPr="00145AA1">
              <w:rPr>
                <w:b/>
                <w:color w:val="000000"/>
                <w:sz w:val="27"/>
                <w:szCs w:val="27"/>
              </w:rPr>
              <w:t xml:space="preserve">   </w:t>
            </w:r>
            <w:r>
              <w:rPr>
                <w:b/>
                <w:color w:val="000000"/>
                <w:sz w:val="27"/>
                <w:szCs w:val="27"/>
              </w:rPr>
              <w:t xml:space="preserve">   </w:t>
            </w:r>
          </w:p>
          <w:p w:rsidR="00871DF4" w:rsidRPr="00145AA1" w:rsidRDefault="00871DF4" w:rsidP="00871DF4">
            <w:pPr>
              <w:ind w:left="459" w:right="-2"/>
              <w:rPr>
                <w:b/>
                <w:noProof/>
                <w:color w:val="000000"/>
                <w:sz w:val="27"/>
                <w:szCs w:val="27"/>
              </w:rPr>
            </w:pPr>
            <w:r w:rsidRPr="00145AA1">
              <w:rPr>
                <w:b/>
                <w:color w:val="000000"/>
                <w:sz w:val="27"/>
                <w:szCs w:val="27"/>
              </w:rPr>
              <w:t xml:space="preserve"> №</w:t>
            </w:r>
            <w:r>
              <w:rPr>
                <w:b/>
                <w:color w:val="000000"/>
                <w:sz w:val="27"/>
                <w:szCs w:val="27"/>
              </w:rPr>
              <w:t xml:space="preserve"> </w:t>
            </w:r>
            <w:r>
              <w:rPr>
                <w:b/>
                <w:szCs w:val="28"/>
              </w:rPr>
              <w:t>652/0/15-20</w:t>
            </w:r>
            <w:r>
              <w:rPr>
                <w:szCs w:val="28"/>
              </w:rPr>
              <w:t xml:space="preserve"> </w:t>
            </w:r>
            <w:r w:rsidRPr="00C85FE9">
              <w:rPr>
                <w:szCs w:val="28"/>
              </w:rPr>
              <w:t xml:space="preserve"> </w:t>
            </w:r>
          </w:p>
        </w:tc>
      </w:tr>
      <w:tr w:rsidR="00871DF4" w:rsidTr="00E6103B">
        <w:trPr>
          <w:gridAfter w:val="2"/>
          <w:wAfter w:w="6753" w:type="dxa"/>
        </w:trPr>
        <w:tc>
          <w:tcPr>
            <w:tcW w:w="5919" w:type="dxa"/>
            <w:gridSpan w:val="2"/>
            <w:hideMark/>
          </w:tcPr>
          <w:p w:rsidR="00871DF4" w:rsidRDefault="00871DF4" w:rsidP="00E6103B">
            <w:pPr>
              <w:spacing w:line="240" w:lineRule="auto"/>
              <w:ind w:firstLine="851"/>
              <w:rPr>
                <w:b/>
                <w:sz w:val="24"/>
                <w:szCs w:val="24"/>
              </w:rPr>
            </w:pPr>
            <w:bookmarkStart w:id="0" w:name="OLE_LINK46"/>
            <w:bookmarkStart w:id="1" w:name="OLE_LINK47"/>
            <w:bookmarkEnd w:id="0"/>
            <w:bookmarkEnd w:id="1"/>
          </w:p>
        </w:tc>
      </w:tr>
    </w:tbl>
    <w:p w:rsidR="00871DF4" w:rsidRPr="009D5795" w:rsidRDefault="00871DF4" w:rsidP="00871DF4">
      <w:pPr>
        <w:spacing w:after="0"/>
        <w:rPr>
          <w:vanish/>
        </w:rPr>
      </w:pPr>
    </w:p>
    <w:tbl>
      <w:tblPr>
        <w:tblpPr w:leftFromText="180" w:rightFromText="180" w:vertAnchor="text" w:horzAnchor="margin" w:tblpY="131"/>
        <w:tblW w:w="9747" w:type="dxa"/>
        <w:tblCellMar>
          <w:left w:w="10" w:type="dxa"/>
          <w:right w:w="10" w:type="dxa"/>
        </w:tblCellMar>
        <w:tblLook w:val="04A0"/>
      </w:tblPr>
      <w:tblGrid>
        <w:gridCol w:w="4786"/>
        <w:gridCol w:w="4961"/>
      </w:tblGrid>
      <w:tr w:rsidR="00871DF4" w:rsidRPr="00CC6E39" w:rsidTr="00E6103B">
        <w:tc>
          <w:tcPr>
            <w:tcW w:w="4786" w:type="dxa"/>
            <w:shd w:val="clear" w:color="auto" w:fill="auto"/>
            <w:tcMar>
              <w:top w:w="0" w:type="dxa"/>
              <w:left w:w="108" w:type="dxa"/>
              <w:bottom w:w="0" w:type="dxa"/>
              <w:right w:w="108" w:type="dxa"/>
            </w:tcMar>
          </w:tcPr>
          <w:p w:rsidR="00871DF4" w:rsidRPr="00DF7FBB" w:rsidRDefault="00871DF4" w:rsidP="00E6103B">
            <w:pPr>
              <w:spacing w:line="240" w:lineRule="auto"/>
              <w:jc w:val="both"/>
              <w:rPr>
                <w:b/>
                <w:sz w:val="24"/>
                <w:szCs w:val="24"/>
                <w:lang w:val="ru-RU"/>
              </w:rPr>
            </w:pPr>
            <w:r w:rsidRPr="00404893">
              <w:rPr>
                <w:rFonts w:cs="Times New Roman"/>
                <w:b/>
                <w:sz w:val="24"/>
              </w:rPr>
              <w:t xml:space="preserve">Про надання консультативного висновку до законопроекту № </w:t>
            </w:r>
            <w:r>
              <w:rPr>
                <w:rFonts w:cs="Times New Roman"/>
                <w:b/>
                <w:sz w:val="24"/>
              </w:rPr>
              <w:t>2815</w:t>
            </w:r>
          </w:p>
        </w:tc>
        <w:tc>
          <w:tcPr>
            <w:tcW w:w="4961" w:type="dxa"/>
            <w:shd w:val="clear" w:color="auto" w:fill="auto"/>
            <w:tcMar>
              <w:top w:w="0" w:type="dxa"/>
              <w:left w:w="108" w:type="dxa"/>
              <w:bottom w:w="0" w:type="dxa"/>
              <w:right w:w="108" w:type="dxa"/>
            </w:tcMar>
          </w:tcPr>
          <w:p w:rsidR="00871DF4" w:rsidRDefault="00871DF4" w:rsidP="00E6103B">
            <w:pPr>
              <w:pStyle w:val="a3"/>
              <w:rPr>
                <w:b/>
                <w:i/>
                <w:sz w:val="24"/>
                <w:szCs w:val="24"/>
              </w:rPr>
            </w:pPr>
          </w:p>
        </w:tc>
      </w:tr>
    </w:tbl>
    <w:p w:rsidR="00871DF4" w:rsidRPr="00C061D4" w:rsidRDefault="00871DF4" w:rsidP="00871DF4">
      <w:pPr>
        <w:spacing w:after="0" w:line="240" w:lineRule="auto"/>
        <w:ind w:firstLine="567"/>
        <w:jc w:val="both"/>
        <w:rPr>
          <w:rFonts w:cs="Times New Roman"/>
          <w:szCs w:val="28"/>
        </w:rPr>
      </w:pPr>
      <w:r w:rsidRPr="00C061D4">
        <w:rPr>
          <w:rFonts w:cs="Times New Roman"/>
          <w:szCs w:val="28"/>
        </w:rPr>
        <w:t xml:space="preserve">Вища рада правосуддя розглянула проект Закону України </w:t>
      </w:r>
      <w:r>
        <w:rPr>
          <w:rFonts w:cs="Times New Roman"/>
          <w:szCs w:val="28"/>
        </w:rPr>
        <w:t>«</w:t>
      </w:r>
      <w:r w:rsidRPr="00C061D4">
        <w:rPr>
          <w:rFonts w:cs="Times New Roman"/>
          <w:szCs w:val="28"/>
          <w:lang w:eastAsia="en-GB"/>
        </w:rPr>
        <w:t>Про внесення змін до Закону України  «Про судоустрій і статус суддів» у зв’язку з прийняттям Закону України «Про запобігання корупції» (реєстраційний № 2815 від 28 січня 2020 року), внесений</w:t>
      </w:r>
      <w:r w:rsidRPr="00C061D4">
        <w:rPr>
          <w:rFonts w:cs="Times New Roman"/>
          <w:szCs w:val="28"/>
        </w:rPr>
        <w:t xml:space="preserve"> </w:t>
      </w:r>
      <w:r w:rsidRPr="00C061D4">
        <w:rPr>
          <w:rFonts w:cs="Times New Roman"/>
          <w:szCs w:val="28"/>
          <w:lang w:eastAsia="en-GB"/>
        </w:rPr>
        <w:t>на розгляд Верховної Ради України у порядку законодавчої ініціативи Кабінетом Міністрів України</w:t>
      </w:r>
      <w:r>
        <w:rPr>
          <w:rFonts w:cs="Times New Roman"/>
          <w:szCs w:val="28"/>
          <w:lang w:eastAsia="en-GB"/>
        </w:rPr>
        <w:t>.</w:t>
      </w:r>
    </w:p>
    <w:p w:rsidR="00871DF4" w:rsidRPr="003C2F77" w:rsidRDefault="00871DF4" w:rsidP="00871DF4">
      <w:pPr>
        <w:pStyle w:val="a3"/>
        <w:widowControl w:val="0"/>
        <w:tabs>
          <w:tab w:val="left" w:pos="1134"/>
        </w:tabs>
        <w:ind w:firstLine="567"/>
        <w:jc w:val="both"/>
        <w:outlineLvl w:val="0"/>
        <w:rPr>
          <w:rFonts w:cs="Times New Roman"/>
          <w:szCs w:val="28"/>
        </w:rPr>
      </w:pPr>
      <w:r w:rsidRPr="00C061D4">
        <w:rPr>
          <w:rFonts w:cs="Times New Roman"/>
          <w:szCs w:val="28"/>
        </w:rPr>
        <w:t>Відповідно до пункту 15 частини першої</w:t>
      </w:r>
      <w:r w:rsidRPr="00922851">
        <w:rPr>
          <w:rFonts w:cs="Times New Roman"/>
          <w:szCs w:val="28"/>
        </w:rPr>
        <w:t xml:space="preserve"> статті</w:t>
      </w:r>
      <w:r w:rsidRPr="00575199">
        <w:rPr>
          <w:rFonts w:cs="Times New Roman"/>
          <w:szCs w:val="28"/>
        </w:rPr>
        <w:t xml:space="preserve"> 3 Закону України </w:t>
      </w:r>
      <w:r>
        <w:rPr>
          <w:rFonts w:cs="Times New Roman"/>
          <w:szCs w:val="28"/>
        </w:rPr>
        <w:t xml:space="preserve">          </w:t>
      </w:r>
      <w:r w:rsidRPr="00575199">
        <w:rPr>
          <w:rFonts w:cs="Times New Roman"/>
          <w:szCs w:val="28"/>
        </w:rPr>
        <w:t>«Про</w:t>
      </w:r>
      <w:r w:rsidRPr="003C2F77">
        <w:rPr>
          <w:rFonts w:cs="Times New Roman"/>
          <w:szCs w:val="28"/>
        </w:rPr>
        <w:t xml:space="preserve"> Вищу раду правосуддя»</w:t>
      </w:r>
      <w:r>
        <w:rPr>
          <w:rFonts w:cs="Times New Roman"/>
          <w:szCs w:val="28"/>
        </w:rPr>
        <w:t xml:space="preserve"> </w:t>
      </w:r>
      <w:r w:rsidRPr="003C2F77">
        <w:rPr>
          <w:rFonts w:cs="Times New Roman"/>
          <w:szCs w:val="28"/>
        </w:rPr>
        <w:t>Вища рада правосуддя надає обов’язкові до розгляду консультативні висновки щодо законопроектів із питань утворення, реорганізації чи ліквідації судів, судоустрою і статусу суддів.</w:t>
      </w:r>
    </w:p>
    <w:p w:rsidR="00871DF4" w:rsidRPr="0086772A" w:rsidRDefault="00871DF4" w:rsidP="00871DF4">
      <w:pPr>
        <w:spacing w:after="0" w:line="240" w:lineRule="auto"/>
        <w:ind w:firstLine="567"/>
        <w:jc w:val="both"/>
        <w:rPr>
          <w:rFonts w:cs="Times New Roman"/>
          <w:szCs w:val="28"/>
        </w:rPr>
      </w:pPr>
      <w:r>
        <w:rPr>
          <w:rFonts w:cs="Times New Roman"/>
          <w:szCs w:val="28"/>
        </w:rPr>
        <w:t xml:space="preserve">Керуючись </w:t>
      </w:r>
      <w:r w:rsidRPr="0086772A">
        <w:rPr>
          <w:rFonts w:cs="Times New Roman"/>
          <w:szCs w:val="28"/>
        </w:rPr>
        <w:t xml:space="preserve">статтею 131 Конституції України, статтями 3, 34 Закону України «Про Вищу раду правосуддя», Вища рада правосуддя </w:t>
      </w:r>
    </w:p>
    <w:p w:rsidR="00871DF4" w:rsidRPr="0086772A" w:rsidRDefault="00871DF4" w:rsidP="00871DF4">
      <w:pPr>
        <w:spacing w:after="0" w:line="240" w:lineRule="auto"/>
        <w:jc w:val="both"/>
        <w:rPr>
          <w:rFonts w:cs="Times New Roman"/>
          <w:szCs w:val="28"/>
        </w:rPr>
      </w:pPr>
    </w:p>
    <w:p w:rsidR="00871DF4" w:rsidRPr="0086772A" w:rsidRDefault="00871DF4" w:rsidP="00871DF4">
      <w:pPr>
        <w:spacing w:after="0" w:line="240" w:lineRule="auto"/>
        <w:rPr>
          <w:rFonts w:cs="Times New Roman"/>
          <w:szCs w:val="28"/>
        </w:rPr>
      </w:pPr>
    </w:p>
    <w:p w:rsidR="00871DF4" w:rsidRPr="0086772A" w:rsidRDefault="00871DF4" w:rsidP="00871DF4">
      <w:pPr>
        <w:spacing w:after="0" w:line="240" w:lineRule="auto"/>
        <w:jc w:val="center"/>
        <w:rPr>
          <w:rFonts w:cs="Times New Roman"/>
          <w:b/>
          <w:szCs w:val="28"/>
        </w:rPr>
      </w:pPr>
      <w:r w:rsidRPr="0086772A">
        <w:rPr>
          <w:rFonts w:cs="Times New Roman"/>
          <w:b/>
          <w:szCs w:val="28"/>
        </w:rPr>
        <w:t>вирішила:</w:t>
      </w:r>
    </w:p>
    <w:p w:rsidR="00871DF4" w:rsidRPr="0086772A" w:rsidRDefault="00871DF4" w:rsidP="00871DF4">
      <w:pPr>
        <w:spacing w:after="0" w:line="240" w:lineRule="auto"/>
        <w:rPr>
          <w:rFonts w:cs="Times New Roman"/>
          <w:szCs w:val="28"/>
        </w:rPr>
      </w:pPr>
    </w:p>
    <w:p w:rsidR="00871DF4" w:rsidRPr="00403E4A" w:rsidRDefault="00871DF4" w:rsidP="00871DF4">
      <w:pPr>
        <w:spacing w:after="0" w:line="240" w:lineRule="auto"/>
        <w:ind w:firstLine="567"/>
        <w:jc w:val="both"/>
        <w:rPr>
          <w:rFonts w:cs="Times New Roman"/>
          <w:szCs w:val="28"/>
        </w:rPr>
      </w:pPr>
      <w:r w:rsidRPr="00922851">
        <w:rPr>
          <w:rFonts w:cs="Times New Roman"/>
          <w:szCs w:val="28"/>
        </w:rPr>
        <w:t>1</w:t>
      </w:r>
      <w:r w:rsidRPr="00403E4A">
        <w:rPr>
          <w:rFonts w:cs="Times New Roman"/>
          <w:szCs w:val="28"/>
        </w:rPr>
        <w:t>. Затвердити консультативний висновок щодо п</w:t>
      </w:r>
      <w:r w:rsidRPr="00403E4A">
        <w:rPr>
          <w:rFonts w:cs="Times New Roman"/>
          <w:bCs/>
          <w:szCs w:val="28"/>
        </w:rPr>
        <w:t xml:space="preserve">роекту </w:t>
      </w:r>
      <w:r w:rsidRPr="00403E4A">
        <w:rPr>
          <w:rFonts w:cs="Times New Roman"/>
          <w:szCs w:val="28"/>
        </w:rPr>
        <w:t xml:space="preserve">Закону України </w:t>
      </w:r>
      <w:r w:rsidRPr="00403E4A">
        <w:rPr>
          <w:rFonts w:cs="Times New Roman"/>
          <w:szCs w:val="28"/>
          <w:lang w:eastAsia="en-GB"/>
        </w:rPr>
        <w:t>«Про судоустрій і статус суддів» у зв’язку з</w:t>
      </w:r>
      <w:r>
        <w:rPr>
          <w:rFonts w:cs="Times New Roman"/>
          <w:szCs w:val="28"/>
          <w:lang w:eastAsia="en-GB"/>
        </w:rPr>
        <w:t xml:space="preserve"> прийняттям Закону України </w:t>
      </w:r>
      <w:r w:rsidR="00086571">
        <w:rPr>
          <w:rFonts w:cs="Times New Roman"/>
          <w:szCs w:val="28"/>
          <w:lang w:eastAsia="en-GB"/>
        </w:rPr>
        <w:t xml:space="preserve">            </w:t>
      </w:r>
      <w:r>
        <w:rPr>
          <w:rFonts w:cs="Times New Roman"/>
          <w:szCs w:val="28"/>
          <w:lang w:eastAsia="en-GB"/>
        </w:rPr>
        <w:t xml:space="preserve">«Про </w:t>
      </w:r>
      <w:r w:rsidRPr="00403E4A">
        <w:rPr>
          <w:rFonts w:cs="Times New Roman"/>
          <w:szCs w:val="28"/>
          <w:lang w:eastAsia="en-GB"/>
        </w:rPr>
        <w:t>запобігання корупції» (реєстраційний № 2815 від 28 січня 2020 року), внесеного на розгляд Верховної Ради України у порядку законодавчої ініціативи Кабінетом Міністрів України</w:t>
      </w:r>
      <w:r>
        <w:rPr>
          <w:rFonts w:cs="Times New Roman"/>
          <w:szCs w:val="28"/>
          <w:lang w:eastAsia="en-GB"/>
        </w:rPr>
        <w:t>.</w:t>
      </w:r>
      <w:r w:rsidRPr="00403E4A">
        <w:rPr>
          <w:rFonts w:cs="Times New Roman"/>
          <w:szCs w:val="28"/>
        </w:rPr>
        <w:t xml:space="preserve"> </w:t>
      </w:r>
    </w:p>
    <w:p w:rsidR="00871DF4" w:rsidRPr="00403E4A" w:rsidRDefault="00871DF4" w:rsidP="00871DF4">
      <w:pPr>
        <w:spacing w:after="0" w:line="240" w:lineRule="auto"/>
        <w:ind w:firstLine="567"/>
        <w:jc w:val="both"/>
        <w:rPr>
          <w:rFonts w:cs="Times New Roman"/>
          <w:szCs w:val="28"/>
        </w:rPr>
      </w:pPr>
      <w:r w:rsidRPr="00403E4A">
        <w:rPr>
          <w:rFonts w:cs="Times New Roman"/>
          <w:szCs w:val="28"/>
        </w:rPr>
        <w:t>2. Надіслати консультативний висновок до Верховної Ради України.</w:t>
      </w:r>
    </w:p>
    <w:p w:rsidR="00871DF4" w:rsidRPr="00922851" w:rsidRDefault="00871DF4" w:rsidP="00871DF4">
      <w:pPr>
        <w:spacing w:after="0" w:line="240" w:lineRule="auto"/>
        <w:rPr>
          <w:rFonts w:cs="Times New Roman"/>
          <w:szCs w:val="28"/>
        </w:rPr>
      </w:pPr>
    </w:p>
    <w:p w:rsidR="00871DF4" w:rsidRPr="00922851" w:rsidRDefault="00871DF4" w:rsidP="00871DF4">
      <w:pPr>
        <w:spacing w:after="0" w:line="240" w:lineRule="auto"/>
        <w:rPr>
          <w:rFonts w:cs="Times New Roman"/>
          <w:szCs w:val="28"/>
        </w:rPr>
      </w:pPr>
    </w:p>
    <w:p w:rsidR="00871DF4" w:rsidRDefault="00871DF4" w:rsidP="00871DF4">
      <w:pPr>
        <w:spacing w:after="0" w:line="240" w:lineRule="auto"/>
        <w:jc w:val="both"/>
        <w:rPr>
          <w:rFonts w:cs="Times New Roman"/>
          <w:b/>
          <w:szCs w:val="28"/>
        </w:rPr>
      </w:pPr>
    </w:p>
    <w:p w:rsidR="00871DF4" w:rsidRPr="0086772A" w:rsidRDefault="00871DF4" w:rsidP="00871DF4">
      <w:pPr>
        <w:spacing w:after="0" w:line="240" w:lineRule="auto"/>
        <w:jc w:val="both"/>
        <w:rPr>
          <w:rFonts w:cs="Times New Roman"/>
          <w:b/>
          <w:szCs w:val="28"/>
        </w:rPr>
      </w:pPr>
      <w:r w:rsidRPr="0086772A">
        <w:rPr>
          <w:rFonts w:cs="Times New Roman"/>
          <w:b/>
          <w:szCs w:val="28"/>
        </w:rPr>
        <w:t xml:space="preserve">Голова Вищої ради правосуддя      </w:t>
      </w:r>
      <w:r w:rsidRPr="0086772A">
        <w:rPr>
          <w:rFonts w:cs="Times New Roman"/>
          <w:b/>
          <w:szCs w:val="28"/>
        </w:rPr>
        <w:tab/>
      </w:r>
      <w:r w:rsidRPr="0086772A">
        <w:rPr>
          <w:rFonts w:cs="Times New Roman"/>
          <w:b/>
          <w:szCs w:val="28"/>
        </w:rPr>
        <w:tab/>
      </w:r>
      <w:r w:rsidRPr="0086772A">
        <w:rPr>
          <w:rFonts w:cs="Times New Roman"/>
          <w:b/>
          <w:szCs w:val="28"/>
        </w:rPr>
        <w:tab/>
      </w:r>
      <w:r w:rsidRPr="0086772A">
        <w:rPr>
          <w:rFonts w:cs="Times New Roman"/>
          <w:b/>
          <w:szCs w:val="28"/>
        </w:rPr>
        <w:tab/>
        <w:t xml:space="preserve">           А.А. </w:t>
      </w:r>
      <w:proofErr w:type="spellStart"/>
      <w:r w:rsidRPr="0086772A">
        <w:rPr>
          <w:rFonts w:cs="Times New Roman"/>
          <w:b/>
          <w:szCs w:val="28"/>
        </w:rPr>
        <w:t>Овсієнко</w:t>
      </w:r>
      <w:proofErr w:type="spellEnd"/>
    </w:p>
    <w:p w:rsidR="00367A65" w:rsidRDefault="00367A65" w:rsidP="00871DF4">
      <w:pPr>
        <w:spacing w:after="0" w:line="240" w:lineRule="auto"/>
      </w:pPr>
    </w:p>
    <w:p w:rsidR="00871DF4" w:rsidRDefault="00871DF4" w:rsidP="00871DF4">
      <w:pPr>
        <w:spacing w:after="0" w:line="240" w:lineRule="auto"/>
      </w:pPr>
    </w:p>
    <w:p w:rsidR="00871DF4" w:rsidRDefault="00871DF4" w:rsidP="00871DF4">
      <w:pPr>
        <w:spacing w:after="0" w:line="240" w:lineRule="auto"/>
      </w:pPr>
    </w:p>
    <w:p w:rsidR="00871DF4" w:rsidRDefault="00871DF4" w:rsidP="00871DF4">
      <w:pPr>
        <w:spacing w:after="0" w:line="240" w:lineRule="auto"/>
      </w:pPr>
    </w:p>
    <w:p w:rsidR="00871DF4" w:rsidRDefault="00871DF4" w:rsidP="00871DF4">
      <w:pPr>
        <w:spacing w:after="0" w:line="240" w:lineRule="auto"/>
      </w:pPr>
    </w:p>
    <w:p w:rsidR="00871DF4" w:rsidRPr="00871DF4" w:rsidRDefault="00871DF4" w:rsidP="00871DF4">
      <w:pPr>
        <w:pStyle w:val="a3"/>
        <w:tabs>
          <w:tab w:val="left" w:pos="4536"/>
          <w:tab w:val="left" w:pos="5387"/>
        </w:tabs>
        <w:ind w:firstLine="5103"/>
        <w:rPr>
          <w:rFonts w:cs="Times New Roman"/>
          <w:b/>
          <w:szCs w:val="28"/>
        </w:rPr>
      </w:pPr>
      <w:r w:rsidRPr="00871DF4">
        <w:rPr>
          <w:rFonts w:cs="Times New Roman"/>
          <w:b/>
          <w:szCs w:val="28"/>
        </w:rPr>
        <w:lastRenderedPageBreak/>
        <w:t>ЗАТВЕРДЖЕНО</w:t>
      </w:r>
    </w:p>
    <w:p w:rsidR="00871DF4" w:rsidRPr="00871DF4" w:rsidRDefault="00871DF4" w:rsidP="00871DF4">
      <w:pPr>
        <w:pStyle w:val="a3"/>
        <w:tabs>
          <w:tab w:val="left" w:pos="4395"/>
          <w:tab w:val="left" w:pos="5245"/>
        </w:tabs>
        <w:ind w:firstLine="5103"/>
        <w:rPr>
          <w:rFonts w:cs="Times New Roman"/>
          <w:b/>
          <w:szCs w:val="28"/>
        </w:rPr>
      </w:pPr>
      <w:r w:rsidRPr="00871DF4">
        <w:rPr>
          <w:rFonts w:cs="Times New Roman"/>
          <w:b/>
          <w:szCs w:val="28"/>
        </w:rPr>
        <w:t>Рішення Вищої ради правосуддя</w:t>
      </w:r>
    </w:p>
    <w:p w:rsidR="00871DF4" w:rsidRPr="00871DF4" w:rsidRDefault="00871DF4" w:rsidP="00871DF4">
      <w:pPr>
        <w:pStyle w:val="a3"/>
        <w:tabs>
          <w:tab w:val="left" w:pos="3969"/>
          <w:tab w:val="left" w:pos="4678"/>
          <w:tab w:val="left" w:pos="5387"/>
        </w:tabs>
        <w:ind w:firstLine="5103"/>
        <w:rPr>
          <w:rFonts w:cs="Times New Roman"/>
          <w:b/>
          <w:szCs w:val="28"/>
        </w:rPr>
      </w:pPr>
      <w:r w:rsidRPr="00871DF4">
        <w:rPr>
          <w:rFonts w:cs="Times New Roman"/>
          <w:b/>
          <w:szCs w:val="28"/>
        </w:rPr>
        <w:t>3 березня 2020 року № 652/0/15-20</w:t>
      </w:r>
    </w:p>
    <w:p w:rsidR="00871DF4" w:rsidRPr="00B71DAF" w:rsidRDefault="00871DF4" w:rsidP="00871DF4">
      <w:pPr>
        <w:pStyle w:val="a3"/>
        <w:tabs>
          <w:tab w:val="left" w:pos="4395"/>
        </w:tabs>
        <w:rPr>
          <w:rFonts w:cs="Times New Roman"/>
          <w:szCs w:val="28"/>
        </w:rPr>
      </w:pPr>
    </w:p>
    <w:p w:rsidR="00871DF4" w:rsidRPr="00B71DAF" w:rsidRDefault="00871DF4" w:rsidP="00871DF4">
      <w:pPr>
        <w:pStyle w:val="a3"/>
        <w:jc w:val="center"/>
        <w:rPr>
          <w:rFonts w:cs="Times New Roman"/>
          <w:szCs w:val="28"/>
        </w:rPr>
      </w:pPr>
      <w:r w:rsidRPr="00B71DAF">
        <w:rPr>
          <w:rFonts w:cs="Times New Roman"/>
          <w:szCs w:val="28"/>
        </w:rPr>
        <w:t>КОНСУЛЬТАТИВНИЙ ВИСНОВОК</w:t>
      </w:r>
      <w:bookmarkStart w:id="2" w:name="_GoBack"/>
      <w:bookmarkEnd w:id="2"/>
    </w:p>
    <w:p w:rsidR="00871DF4" w:rsidRPr="00840C74" w:rsidRDefault="00871DF4" w:rsidP="00871DF4">
      <w:pPr>
        <w:pStyle w:val="a3"/>
        <w:jc w:val="center"/>
        <w:rPr>
          <w:rFonts w:cs="Times New Roman"/>
          <w:szCs w:val="28"/>
        </w:rPr>
      </w:pPr>
      <w:r w:rsidRPr="00B71DAF">
        <w:rPr>
          <w:rFonts w:cs="Times New Roman"/>
          <w:szCs w:val="28"/>
        </w:rPr>
        <w:t xml:space="preserve">щодо законопроекту № </w:t>
      </w:r>
      <w:r>
        <w:rPr>
          <w:rFonts w:cs="Times New Roman"/>
          <w:szCs w:val="28"/>
        </w:rPr>
        <w:t>2</w:t>
      </w:r>
      <w:r w:rsidRPr="00840C74">
        <w:rPr>
          <w:rFonts w:cs="Times New Roman"/>
          <w:szCs w:val="28"/>
        </w:rPr>
        <w:t>815</w:t>
      </w:r>
    </w:p>
    <w:p w:rsidR="00871DF4" w:rsidRDefault="00871DF4" w:rsidP="00871DF4">
      <w:pPr>
        <w:pStyle w:val="a3"/>
        <w:ind w:firstLine="567"/>
        <w:jc w:val="center"/>
        <w:rPr>
          <w:rFonts w:cs="Times New Roman"/>
          <w:szCs w:val="28"/>
        </w:rPr>
      </w:pPr>
    </w:p>
    <w:p w:rsidR="00871DF4" w:rsidRDefault="00871DF4" w:rsidP="00871DF4">
      <w:pPr>
        <w:pStyle w:val="a7"/>
        <w:spacing w:after="0" w:line="240" w:lineRule="auto"/>
        <w:ind w:left="0" w:firstLine="708"/>
        <w:jc w:val="both"/>
        <w:rPr>
          <w:lang w:eastAsia="en-GB"/>
        </w:rPr>
      </w:pPr>
      <w:r w:rsidRPr="00E713A5">
        <w:rPr>
          <w:rStyle w:val="rvts9"/>
          <w:szCs w:val="28"/>
        </w:rPr>
        <w:t xml:space="preserve">1. </w:t>
      </w:r>
      <w:r w:rsidRPr="00E713A5">
        <w:rPr>
          <w:szCs w:val="28"/>
        </w:rPr>
        <w:t xml:space="preserve">Проект </w:t>
      </w:r>
      <w:r>
        <w:rPr>
          <w:szCs w:val="28"/>
        </w:rPr>
        <w:t>Закону Украї</w:t>
      </w:r>
      <w:r w:rsidRPr="00840C74">
        <w:rPr>
          <w:szCs w:val="28"/>
        </w:rPr>
        <w:t xml:space="preserve">ни </w:t>
      </w:r>
      <w:r>
        <w:rPr>
          <w:lang w:eastAsia="en-GB"/>
        </w:rPr>
        <w:t>«Про внесення змін до Закону України            «Про судоустрій і статус суддів» у зв’язку з прийняттям Закону України        «Про запобігання корупції» (реєстраційний № 2815 від 28 січня 2020 року) внесений на розгляд Верховної Ради України у порядку законодавчої ініціативи Кабінетом Міністрів України.</w:t>
      </w:r>
    </w:p>
    <w:p w:rsidR="00871DF4" w:rsidRPr="00A81CA3" w:rsidRDefault="00871DF4" w:rsidP="00871DF4">
      <w:pPr>
        <w:spacing w:line="240" w:lineRule="auto"/>
        <w:ind w:firstLine="709"/>
        <w:contextualSpacing/>
        <w:jc w:val="both"/>
        <w:rPr>
          <w:szCs w:val="28"/>
        </w:rPr>
      </w:pPr>
      <w:r w:rsidRPr="00840C74">
        <w:rPr>
          <w:szCs w:val="28"/>
        </w:rPr>
        <w:t>З</w:t>
      </w:r>
      <w:r>
        <w:rPr>
          <w:szCs w:val="28"/>
        </w:rPr>
        <w:t xml:space="preserve">гідно з пояснювальною запискою </w:t>
      </w:r>
      <w:r w:rsidRPr="00840C74">
        <w:rPr>
          <w:szCs w:val="28"/>
        </w:rPr>
        <w:t>з</w:t>
      </w:r>
      <w:r w:rsidRPr="00982951">
        <w:rPr>
          <w:szCs w:val="28"/>
        </w:rPr>
        <w:t xml:space="preserve">аконопроект </w:t>
      </w:r>
      <w:r w:rsidRPr="00E713A5">
        <w:rPr>
          <w:szCs w:val="28"/>
        </w:rPr>
        <w:t>№ 2</w:t>
      </w:r>
      <w:r w:rsidRPr="00840C74">
        <w:rPr>
          <w:szCs w:val="28"/>
        </w:rPr>
        <w:t>815</w:t>
      </w:r>
      <w:r>
        <w:rPr>
          <w:szCs w:val="28"/>
        </w:rPr>
        <w:t xml:space="preserve"> </w:t>
      </w:r>
      <w:r w:rsidRPr="00A81CA3">
        <w:rPr>
          <w:szCs w:val="28"/>
        </w:rPr>
        <w:t xml:space="preserve">підготовлено Міністерством юстиції України з метою приведення положень </w:t>
      </w:r>
      <w:r>
        <w:rPr>
          <w:szCs w:val="28"/>
        </w:rPr>
        <w:t xml:space="preserve">Закону України від </w:t>
      </w:r>
      <w:r w:rsidRPr="00261F62">
        <w:rPr>
          <w:szCs w:val="28"/>
        </w:rPr>
        <w:t>2 червня 2016 року № 1402-VIII «Про судоустрій і статус суддів» (далі – Закон № 1402-VIII)</w:t>
      </w:r>
      <w:r>
        <w:rPr>
          <w:szCs w:val="28"/>
        </w:rPr>
        <w:t xml:space="preserve"> </w:t>
      </w:r>
      <w:r w:rsidRPr="00A81CA3">
        <w:rPr>
          <w:szCs w:val="28"/>
        </w:rPr>
        <w:t xml:space="preserve"> у відповідність із Законом України </w:t>
      </w:r>
      <w:r>
        <w:rPr>
          <w:szCs w:val="28"/>
        </w:rPr>
        <w:t xml:space="preserve">від </w:t>
      </w:r>
      <w:r w:rsidRPr="00CC065D">
        <w:t>14 жовтня 2014 року</w:t>
      </w:r>
      <w:r>
        <w:t xml:space="preserve"> №</w:t>
      </w:r>
      <w:r w:rsidRPr="00CC065D">
        <w:t xml:space="preserve"> 1700-VII</w:t>
      </w:r>
      <w:r w:rsidRPr="00BD1BA0">
        <w:rPr>
          <w:color w:val="000000"/>
          <w:szCs w:val="28"/>
        </w:rPr>
        <w:t xml:space="preserve"> </w:t>
      </w:r>
      <w:r w:rsidRPr="00A81CA3">
        <w:rPr>
          <w:color w:val="000000"/>
          <w:szCs w:val="28"/>
        </w:rPr>
        <w:t>«</w:t>
      </w:r>
      <w:r w:rsidRPr="00A81CA3">
        <w:rPr>
          <w:szCs w:val="28"/>
        </w:rPr>
        <w:t>Про запобігання корупції</w:t>
      </w:r>
      <w:r w:rsidRPr="00A81CA3">
        <w:rPr>
          <w:color w:val="000000"/>
          <w:szCs w:val="28"/>
        </w:rPr>
        <w:t>»</w:t>
      </w:r>
      <w:r w:rsidRPr="00A81CA3">
        <w:rPr>
          <w:szCs w:val="28"/>
        </w:rPr>
        <w:t>.</w:t>
      </w:r>
    </w:p>
    <w:p w:rsidR="00871DF4" w:rsidRPr="00A81CA3" w:rsidRDefault="00871DF4" w:rsidP="00871DF4">
      <w:pPr>
        <w:spacing w:line="240" w:lineRule="auto"/>
        <w:ind w:firstLine="709"/>
        <w:contextualSpacing/>
        <w:jc w:val="both"/>
        <w:rPr>
          <w:szCs w:val="28"/>
        </w:rPr>
      </w:pPr>
      <w:r w:rsidRPr="000313E2">
        <w:rPr>
          <w:szCs w:val="28"/>
        </w:rPr>
        <w:t xml:space="preserve">З позиції суб’єкта законодавчої ініціативи </w:t>
      </w:r>
      <w:r>
        <w:rPr>
          <w:szCs w:val="28"/>
        </w:rPr>
        <w:t>п</w:t>
      </w:r>
      <w:r w:rsidRPr="00A81CA3">
        <w:rPr>
          <w:szCs w:val="28"/>
        </w:rPr>
        <w:t>оложення Закону не містять чіткої вимоги щодо проведення спеціальної перевірки у випадках та порядку, встановлених Законом України «Про запобігання корупції», при вирішенні питання призначення кандидатів на посаду судді, кандидатів у члени Вищої кваліфікаційної комісії суддів України,</w:t>
      </w:r>
      <w:r w:rsidRPr="00A81CA3">
        <w:rPr>
          <w:b/>
          <w:szCs w:val="28"/>
        </w:rPr>
        <w:t xml:space="preserve"> </w:t>
      </w:r>
      <w:r w:rsidRPr="00A81CA3">
        <w:rPr>
          <w:szCs w:val="28"/>
        </w:rPr>
        <w:t>а також не передбачають необхідності здійснювати повідомлення про працюючих близьких осіб керівництву органу, на посаду в якому вони претендують.</w:t>
      </w:r>
    </w:p>
    <w:p w:rsidR="00871DF4" w:rsidRPr="00A81CA3" w:rsidRDefault="00871DF4" w:rsidP="00871DF4">
      <w:pPr>
        <w:spacing w:line="240" w:lineRule="auto"/>
        <w:ind w:firstLine="709"/>
        <w:contextualSpacing/>
        <w:jc w:val="both"/>
        <w:rPr>
          <w:szCs w:val="28"/>
        </w:rPr>
      </w:pPr>
      <w:r w:rsidRPr="00A81CA3">
        <w:rPr>
          <w:szCs w:val="28"/>
        </w:rPr>
        <w:t>Крім того</w:t>
      </w:r>
      <w:r>
        <w:rPr>
          <w:szCs w:val="28"/>
        </w:rPr>
        <w:t>,</w:t>
      </w:r>
      <w:r w:rsidRPr="00A81CA3">
        <w:rPr>
          <w:szCs w:val="28"/>
        </w:rPr>
        <w:t xml:space="preserve"> </w:t>
      </w:r>
      <w:r w:rsidRPr="00DA7A10">
        <w:rPr>
          <w:szCs w:val="28"/>
        </w:rPr>
        <w:t>потребує приведення у відповідність до положень Закону</w:t>
      </w:r>
      <w:r w:rsidRPr="00A81CA3">
        <w:rPr>
          <w:szCs w:val="28"/>
        </w:rPr>
        <w:t xml:space="preserve"> України «Про запобігання корупції» понятійний апарат Закону. </w:t>
      </w:r>
    </w:p>
    <w:p w:rsidR="00871DF4" w:rsidRPr="00041BAB" w:rsidRDefault="00871DF4" w:rsidP="00871DF4">
      <w:pPr>
        <w:spacing w:after="0" w:line="240" w:lineRule="auto"/>
        <w:ind w:firstLine="720"/>
        <w:jc w:val="both"/>
        <w:rPr>
          <w:color w:val="000000"/>
          <w:szCs w:val="28"/>
        </w:rPr>
      </w:pPr>
    </w:p>
    <w:p w:rsidR="00871DF4" w:rsidRPr="00A6758A" w:rsidRDefault="00871DF4" w:rsidP="00871DF4">
      <w:pPr>
        <w:tabs>
          <w:tab w:val="left" w:pos="0"/>
        </w:tabs>
        <w:autoSpaceDE w:val="0"/>
        <w:autoSpaceDN w:val="0"/>
        <w:adjustRightInd w:val="0"/>
        <w:spacing w:after="0" w:line="240" w:lineRule="auto"/>
        <w:ind w:firstLine="709"/>
        <w:jc w:val="both"/>
        <w:rPr>
          <w:rFonts w:cs="Times New Roman"/>
          <w:szCs w:val="28"/>
          <w:lang w:eastAsia="uk-UA"/>
        </w:rPr>
      </w:pPr>
      <w:r w:rsidRPr="00A6758A">
        <w:rPr>
          <w:rFonts w:cs="Times New Roman"/>
          <w:szCs w:val="28"/>
        </w:rPr>
        <w:t xml:space="preserve">2. Вища рада правосуддя відповідно до пункту 15 частини першої   </w:t>
      </w:r>
      <w:r>
        <w:rPr>
          <w:rFonts w:cs="Times New Roman"/>
          <w:szCs w:val="28"/>
        </w:rPr>
        <w:t xml:space="preserve">            </w:t>
      </w:r>
      <w:r w:rsidRPr="00A6758A">
        <w:rPr>
          <w:rFonts w:cs="Times New Roman"/>
          <w:szCs w:val="28"/>
        </w:rPr>
        <w:t xml:space="preserve">статті 3 Закону України «Про Вищу раду правосуддя» надає обов’язкові до розгляду консультативні висновки щодо законопроектів з питань утворення, реорганізації чи ліквідації судів, судоустрою і статусу суддів. </w:t>
      </w:r>
    </w:p>
    <w:p w:rsidR="00871DF4" w:rsidRDefault="00871DF4" w:rsidP="00871DF4">
      <w:pPr>
        <w:tabs>
          <w:tab w:val="left" w:pos="0"/>
        </w:tabs>
        <w:autoSpaceDE w:val="0"/>
        <w:autoSpaceDN w:val="0"/>
        <w:adjustRightInd w:val="0"/>
        <w:spacing w:after="0" w:line="240" w:lineRule="auto"/>
        <w:ind w:firstLine="709"/>
        <w:jc w:val="both"/>
        <w:rPr>
          <w:rFonts w:cs="Times New Roman"/>
          <w:iCs/>
          <w:szCs w:val="28"/>
        </w:rPr>
      </w:pPr>
      <w:r w:rsidRPr="00A6758A">
        <w:rPr>
          <w:rFonts w:cs="Times New Roman"/>
          <w:iCs/>
          <w:szCs w:val="28"/>
        </w:rPr>
        <w:t xml:space="preserve">Усі проекти законів, що стосуються статусу суддів, </w:t>
      </w:r>
      <w:r>
        <w:rPr>
          <w:rFonts w:cs="Times New Roman"/>
          <w:iCs/>
          <w:szCs w:val="28"/>
        </w:rPr>
        <w:t>здійснення</w:t>
      </w:r>
      <w:r w:rsidRPr="00A6758A">
        <w:rPr>
          <w:rFonts w:cs="Times New Roman"/>
          <w:iCs/>
          <w:szCs w:val="28"/>
        </w:rPr>
        <w:t xml:space="preserve"> правосуддя, процесуальних законів</w:t>
      </w:r>
      <w:r>
        <w:rPr>
          <w:rFonts w:cs="Times New Roman"/>
          <w:iCs/>
          <w:szCs w:val="28"/>
        </w:rPr>
        <w:t>,</w:t>
      </w:r>
      <w:r w:rsidRPr="00A6758A">
        <w:rPr>
          <w:rFonts w:cs="Times New Roman"/>
          <w:iCs/>
          <w:szCs w:val="28"/>
        </w:rPr>
        <w:t xml:space="preserve"> та загальніше будь-які законопроекти, що можуть мати вплив на судівництво, наприклад незалежність судової влади, або можуть обмежити гарантії доступу громадян (у тому числі самих суддів) до правосуддя, повинні розглядатися парламентом лише після отримання висновку  судової ради. Ця консультативна функція повинна бути визнана усіма державами та підтверджена Радою Європи в якості рекомендації</w:t>
      </w:r>
      <w:r w:rsidRPr="00A6758A">
        <w:rPr>
          <w:rStyle w:val="a6"/>
          <w:szCs w:val="28"/>
        </w:rPr>
        <w:footnoteReference w:id="1"/>
      </w:r>
      <w:r w:rsidRPr="00A6758A">
        <w:rPr>
          <w:rFonts w:cs="Times New Roman"/>
          <w:iCs/>
          <w:szCs w:val="28"/>
        </w:rPr>
        <w:t>.</w:t>
      </w:r>
    </w:p>
    <w:p w:rsidR="00871DF4" w:rsidRDefault="00871DF4" w:rsidP="00871DF4">
      <w:pPr>
        <w:autoSpaceDE w:val="0"/>
        <w:autoSpaceDN w:val="0"/>
        <w:adjustRightInd w:val="0"/>
        <w:spacing w:after="0" w:line="240" w:lineRule="auto"/>
        <w:ind w:firstLine="567"/>
        <w:jc w:val="both"/>
        <w:rPr>
          <w:rFonts w:cs="Times New Roman"/>
          <w:szCs w:val="28"/>
        </w:rPr>
      </w:pPr>
      <w:r>
        <w:rPr>
          <w:rFonts w:cs="Times New Roman"/>
          <w:iCs/>
          <w:szCs w:val="28"/>
        </w:rPr>
        <w:t xml:space="preserve">При опрацюванні законопроекту </w:t>
      </w:r>
      <w:r w:rsidRPr="004671E4">
        <w:rPr>
          <w:rFonts w:cs="Times New Roman"/>
          <w:iCs/>
          <w:szCs w:val="28"/>
        </w:rPr>
        <w:t xml:space="preserve">№ </w:t>
      </w:r>
      <w:r>
        <w:rPr>
          <w:rFonts w:cs="Times New Roman"/>
          <w:iCs/>
          <w:szCs w:val="28"/>
        </w:rPr>
        <w:t xml:space="preserve">2815 </w:t>
      </w:r>
      <w:r w:rsidRPr="004671E4">
        <w:rPr>
          <w:rFonts w:cs="Times New Roman"/>
          <w:iCs/>
          <w:szCs w:val="28"/>
        </w:rPr>
        <w:t>Вищ</w:t>
      </w:r>
      <w:r>
        <w:rPr>
          <w:rFonts w:cs="Times New Roman"/>
          <w:iCs/>
          <w:szCs w:val="28"/>
        </w:rPr>
        <w:t>ою</w:t>
      </w:r>
      <w:r w:rsidRPr="004671E4">
        <w:rPr>
          <w:rFonts w:cs="Times New Roman"/>
          <w:iCs/>
          <w:szCs w:val="28"/>
        </w:rPr>
        <w:t xml:space="preserve"> рад</w:t>
      </w:r>
      <w:r>
        <w:rPr>
          <w:rFonts w:cs="Times New Roman"/>
          <w:iCs/>
          <w:szCs w:val="28"/>
        </w:rPr>
        <w:t>ою</w:t>
      </w:r>
      <w:r w:rsidRPr="004671E4">
        <w:rPr>
          <w:rFonts w:cs="Times New Roman"/>
          <w:iCs/>
          <w:szCs w:val="28"/>
        </w:rPr>
        <w:t xml:space="preserve"> правосуддя </w:t>
      </w:r>
      <w:r>
        <w:rPr>
          <w:rFonts w:cs="Times New Roman"/>
          <w:iCs/>
          <w:szCs w:val="28"/>
        </w:rPr>
        <w:t xml:space="preserve">враховано </w:t>
      </w:r>
      <w:r w:rsidRPr="004671E4">
        <w:rPr>
          <w:rFonts w:cs="Times New Roman"/>
          <w:iCs/>
          <w:szCs w:val="28"/>
        </w:rPr>
        <w:t>позиці</w:t>
      </w:r>
      <w:r>
        <w:rPr>
          <w:rFonts w:cs="Times New Roman"/>
          <w:iCs/>
          <w:szCs w:val="28"/>
        </w:rPr>
        <w:t xml:space="preserve">ю </w:t>
      </w:r>
      <w:r w:rsidRPr="004671E4">
        <w:rPr>
          <w:rFonts w:cs="Times New Roman"/>
          <w:iCs/>
          <w:szCs w:val="28"/>
        </w:rPr>
        <w:t>На</w:t>
      </w:r>
      <w:r>
        <w:rPr>
          <w:rFonts w:cs="Times New Roman"/>
          <w:iCs/>
          <w:szCs w:val="28"/>
        </w:rPr>
        <w:t>ціональної школи суддів України</w:t>
      </w:r>
      <w:r>
        <w:rPr>
          <w:rFonts w:cs="Times New Roman"/>
          <w:szCs w:val="28"/>
        </w:rPr>
        <w:t xml:space="preserve">. </w:t>
      </w:r>
    </w:p>
    <w:p w:rsidR="00871DF4" w:rsidRDefault="00871DF4" w:rsidP="00871DF4">
      <w:pPr>
        <w:autoSpaceDE w:val="0"/>
        <w:autoSpaceDN w:val="0"/>
        <w:adjustRightInd w:val="0"/>
        <w:spacing w:after="0" w:line="240" w:lineRule="auto"/>
        <w:ind w:firstLine="567"/>
        <w:jc w:val="both"/>
        <w:rPr>
          <w:rFonts w:cs="Times New Roman"/>
          <w:szCs w:val="28"/>
        </w:rPr>
      </w:pPr>
    </w:p>
    <w:p w:rsidR="00871DF4" w:rsidRPr="0032207D" w:rsidRDefault="00871DF4" w:rsidP="00871DF4">
      <w:pPr>
        <w:autoSpaceDE w:val="0"/>
        <w:autoSpaceDN w:val="0"/>
        <w:adjustRightInd w:val="0"/>
        <w:spacing w:after="0" w:line="240" w:lineRule="auto"/>
        <w:ind w:firstLine="567"/>
        <w:jc w:val="both"/>
        <w:rPr>
          <w:rFonts w:cs="Times New Roman"/>
          <w:iCs/>
          <w:szCs w:val="28"/>
        </w:rPr>
      </w:pPr>
      <w:r>
        <w:rPr>
          <w:rFonts w:cs="Times New Roman"/>
          <w:szCs w:val="28"/>
        </w:rPr>
        <w:lastRenderedPageBreak/>
        <w:t>3. Відповідно до статті 8 Конституції України в Україні визнається і діє принцип верховенства права.</w:t>
      </w:r>
    </w:p>
    <w:p w:rsidR="00871DF4" w:rsidRDefault="00871DF4" w:rsidP="00871DF4">
      <w:pPr>
        <w:spacing w:after="0" w:line="240" w:lineRule="auto"/>
        <w:ind w:firstLine="709"/>
        <w:jc w:val="both"/>
      </w:pPr>
      <w:r>
        <w:t>У Рішенні Конституційного Суду України від 22 вересня 2005 року              № 5-рп/2005 зазначено, що «із конституційних принципів рівності і справедливості випливає вимога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пункту 5 мотивувальної частини)</w:t>
      </w:r>
      <w:r>
        <w:rPr>
          <w:rStyle w:val="a6"/>
        </w:rPr>
        <w:footnoteReference w:id="2"/>
      </w:r>
      <w:r>
        <w:t xml:space="preserve">. </w:t>
      </w:r>
    </w:p>
    <w:p w:rsidR="00871DF4" w:rsidRDefault="00871DF4" w:rsidP="00871DF4">
      <w:pPr>
        <w:spacing w:after="0" w:line="240" w:lineRule="auto"/>
        <w:ind w:firstLine="709"/>
        <w:jc w:val="both"/>
      </w:pPr>
      <w:r>
        <w:t>Таким чином, Конституційний Суд України наголосив, що невизначеність, нечіткість правової норми призводить до її неоднакового розуміння та тлумачення, що в практичній площині призводить до різного застосування.</w:t>
      </w:r>
    </w:p>
    <w:p w:rsidR="00871DF4" w:rsidRPr="0069759D" w:rsidRDefault="00871DF4" w:rsidP="00871DF4">
      <w:pPr>
        <w:spacing w:after="0" w:line="240" w:lineRule="auto"/>
        <w:ind w:firstLine="709"/>
        <w:jc w:val="both"/>
        <w:rPr>
          <w:rFonts w:cs="Times New Roman"/>
          <w:szCs w:val="28"/>
          <w:lang w:val="ru-RU"/>
        </w:rPr>
      </w:pPr>
      <w:r w:rsidRPr="00684C35">
        <w:rPr>
          <w:rFonts w:cs="Times New Roman"/>
          <w:szCs w:val="28"/>
        </w:rPr>
        <w:t>У</w:t>
      </w:r>
      <w:r w:rsidRPr="00DD1CFE">
        <w:rPr>
          <w:rFonts w:cs="Times New Roman"/>
          <w:szCs w:val="28"/>
        </w:rPr>
        <w:t xml:space="preserve">згодженість правових норм, відсутність між ними суперечностей належать не лише до загальних умов ефективності законодавства, а й одночасно є важливою закономірністю його </w:t>
      </w:r>
      <w:r>
        <w:rPr>
          <w:rFonts w:cs="Times New Roman"/>
          <w:szCs w:val="28"/>
        </w:rPr>
        <w:t>функціонування як самостійного цілісного</w:t>
      </w:r>
      <w:r w:rsidRPr="00DD1CFE">
        <w:rPr>
          <w:rFonts w:cs="Times New Roman"/>
          <w:szCs w:val="28"/>
        </w:rPr>
        <w:t xml:space="preserve"> системного явища.</w:t>
      </w:r>
    </w:p>
    <w:p w:rsidR="00871DF4" w:rsidRPr="00AD5CD6" w:rsidRDefault="00871DF4" w:rsidP="00871DF4">
      <w:pPr>
        <w:spacing w:line="240" w:lineRule="auto"/>
        <w:ind w:firstLine="709"/>
        <w:contextualSpacing/>
        <w:jc w:val="both"/>
      </w:pPr>
      <w:r>
        <w:rPr>
          <w:rStyle w:val="rvts9"/>
          <w:lang w:eastAsia="ru-RU"/>
        </w:rPr>
        <w:t xml:space="preserve">Незалежність </w:t>
      </w:r>
      <w:r w:rsidRPr="008C46CC">
        <w:rPr>
          <w:rStyle w:val="rvts9"/>
          <w:lang w:eastAsia="ru-RU"/>
        </w:rPr>
        <w:t>судової гілки влади від</w:t>
      </w:r>
      <w:r w:rsidRPr="008C46CC">
        <w:rPr>
          <w:szCs w:val="28"/>
        </w:rPr>
        <w:t xml:space="preserve"> інших гілок влади</w:t>
      </w:r>
      <w:r>
        <w:rPr>
          <w:szCs w:val="28"/>
        </w:rPr>
        <w:t xml:space="preserve"> полягає </w:t>
      </w:r>
      <w:r w:rsidRPr="008C46CC">
        <w:rPr>
          <w:rFonts w:cs="Times New Roman"/>
          <w:szCs w:val="28"/>
        </w:rPr>
        <w:t>насамперед</w:t>
      </w:r>
      <w:r>
        <w:rPr>
          <w:rFonts w:cs="Times New Roman"/>
          <w:szCs w:val="28"/>
        </w:rPr>
        <w:t xml:space="preserve"> у</w:t>
      </w:r>
      <w:r w:rsidRPr="008C46CC">
        <w:rPr>
          <w:rFonts w:cs="Times New Roman"/>
          <w:szCs w:val="28"/>
        </w:rPr>
        <w:t xml:space="preserve"> незалежн</w:t>
      </w:r>
      <w:r>
        <w:rPr>
          <w:rFonts w:cs="Times New Roman"/>
          <w:szCs w:val="28"/>
        </w:rPr>
        <w:t>ості</w:t>
      </w:r>
      <w:r w:rsidRPr="008C46CC">
        <w:rPr>
          <w:rFonts w:cs="Times New Roman"/>
          <w:szCs w:val="28"/>
        </w:rPr>
        <w:t xml:space="preserve"> від виконавчої та законодавчої влад</w:t>
      </w:r>
      <w:r>
        <w:rPr>
          <w:rFonts w:cs="Times New Roman"/>
          <w:szCs w:val="28"/>
        </w:rPr>
        <w:t>и.</w:t>
      </w:r>
      <w:r w:rsidRPr="008C46CC">
        <w:rPr>
          <w:rFonts w:cs="Times New Roman"/>
          <w:szCs w:val="28"/>
        </w:rPr>
        <w:t xml:space="preserve"> </w:t>
      </w:r>
      <w:r>
        <w:t>При цьому слід враховувати, що будь-які антикорупційні заходи, що здійснюються в судовій системі, не повинні суперечити засадам визначеної міжнародними стандартами суддівської незалежності, адже остання є основною гарантією справедливого суду.</w:t>
      </w:r>
    </w:p>
    <w:p w:rsidR="00871DF4" w:rsidRDefault="00871DF4" w:rsidP="00871DF4">
      <w:pPr>
        <w:spacing w:after="0" w:line="240" w:lineRule="auto"/>
        <w:ind w:firstLine="709"/>
        <w:jc w:val="both"/>
        <w:rPr>
          <w:szCs w:val="28"/>
        </w:rPr>
      </w:pPr>
      <w:r>
        <w:rPr>
          <w:rFonts w:cs="Times New Roman"/>
          <w:color w:val="000000"/>
          <w:shd w:val="clear" w:color="auto" w:fill="FFFFFF"/>
        </w:rPr>
        <w:t>П</w:t>
      </w:r>
      <w:r w:rsidRPr="00995343">
        <w:rPr>
          <w:rFonts w:cs="Times New Roman"/>
          <w:color w:val="000000"/>
          <w:shd w:val="clear" w:color="auto" w:fill="FFFFFF"/>
        </w:rPr>
        <w:t>равові засади організації судової влади та здійснення правосуддя в Україні з метою захисту прав, свобод та законних інтересів людини і громадянина, прав та законних інтересів юридичних осіб, інтересів держави на засадах верховенства права, визнач</w:t>
      </w:r>
      <w:r>
        <w:rPr>
          <w:rFonts w:cs="Times New Roman"/>
          <w:color w:val="000000"/>
          <w:shd w:val="clear" w:color="auto" w:fill="FFFFFF"/>
        </w:rPr>
        <w:t>ення системи</w:t>
      </w:r>
      <w:r w:rsidRPr="00995343">
        <w:rPr>
          <w:rFonts w:cs="Times New Roman"/>
          <w:color w:val="000000"/>
          <w:shd w:val="clear" w:color="auto" w:fill="FFFFFF"/>
        </w:rPr>
        <w:t xml:space="preserve"> судів загальної юрисдикції, статус професійного судді, народного засідателя, присяжного, систему та порядок здійсне</w:t>
      </w:r>
      <w:r>
        <w:rPr>
          <w:rFonts w:cs="Times New Roman"/>
          <w:color w:val="000000"/>
          <w:shd w:val="clear" w:color="auto" w:fill="FFFFFF"/>
        </w:rPr>
        <w:t xml:space="preserve">ння суддівського самоврядування, встановлення системи і загального порядку </w:t>
      </w:r>
      <w:r w:rsidRPr="00995343">
        <w:rPr>
          <w:rFonts w:cs="Times New Roman"/>
          <w:color w:val="000000"/>
          <w:shd w:val="clear" w:color="auto" w:fill="FFFFFF"/>
        </w:rPr>
        <w:t xml:space="preserve">забезпечення діяльності судів та </w:t>
      </w:r>
      <w:r>
        <w:rPr>
          <w:rFonts w:cs="Times New Roman"/>
          <w:color w:val="000000"/>
          <w:shd w:val="clear" w:color="auto" w:fill="FFFFFF"/>
        </w:rPr>
        <w:t>в</w:t>
      </w:r>
      <w:r w:rsidRPr="00995343">
        <w:rPr>
          <w:rFonts w:cs="Times New Roman"/>
          <w:color w:val="000000"/>
          <w:shd w:val="clear" w:color="auto" w:fill="FFFFFF"/>
        </w:rPr>
        <w:t>регулю</w:t>
      </w:r>
      <w:r>
        <w:rPr>
          <w:rFonts w:cs="Times New Roman"/>
          <w:color w:val="000000"/>
          <w:shd w:val="clear" w:color="auto" w:fill="FFFFFF"/>
        </w:rPr>
        <w:t>вання</w:t>
      </w:r>
      <w:r w:rsidRPr="00995343">
        <w:rPr>
          <w:rFonts w:cs="Times New Roman"/>
          <w:color w:val="000000"/>
          <w:shd w:val="clear" w:color="auto" w:fill="FFFFFF"/>
        </w:rPr>
        <w:t xml:space="preserve"> інш</w:t>
      </w:r>
      <w:r>
        <w:rPr>
          <w:rFonts w:cs="Times New Roman"/>
          <w:color w:val="000000"/>
          <w:shd w:val="clear" w:color="auto" w:fill="FFFFFF"/>
        </w:rPr>
        <w:t xml:space="preserve">их </w:t>
      </w:r>
      <w:r w:rsidRPr="00995343">
        <w:rPr>
          <w:rFonts w:cs="Times New Roman"/>
          <w:color w:val="000000"/>
          <w:shd w:val="clear" w:color="auto" w:fill="FFFFFF"/>
        </w:rPr>
        <w:t>пита</w:t>
      </w:r>
      <w:r>
        <w:rPr>
          <w:rFonts w:cs="Times New Roman"/>
          <w:color w:val="000000"/>
          <w:shd w:val="clear" w:color="auto" w:fill="FFFFFF"/>
        </w:rPr>
        <w:t>нь судоустрою і статусу суддів</w:t>
      </w:r>
      <w:r w:rsidRPr="00995343">
        <w:rPr>
          <w:rFonts w:cs="Times New Roman"/>
          <w:color w:val="000000"/>
          <w:shd w:val="clear" w:color="auto" w:fill="FFFFFF"/>
        </w:rPr>
        <w:t xml:space="preserve"> </w:t>
      </w:r>
      <w:r>
        <w:rPr>
          <w:rFonts w:cs="Times New Roman"/>
          <w:color w:val="000000"/>
          <w:shd w:val="clear" w:color="auto" w:fill="FFFFFF"/>
        </w:rPr>
        <w:t xml:space="preserve">визначає </w:t>
      </w:r>
      <w:r w:rsidRPr="00675ED6">
        <w:rPr>
          <w:rFonts w:cs="Times New Roman"/>
          <w:szCs w:val="28"/>
          <w:lang w:eastAsia="uk-UA" w:bidi="uk-UA"/>
        </w:rPr>
        <w:t>Зак</w:t>
      </w:r>
      <w:r>
        <w:rPr>
          <w:rFonts w:cs="Times New Roman"/>
          <w:szCs w:val="28"/>
          <w:lang w:eastAsia="uk-UA" w:bidi="uk-UA"/>
        </w:rPr>
        <w:t xml:space="preserve">он </w:t>
      </w:r>
      <w:r>
        <w:rPr>
          <w:szCs w:val="28"/>
        </w:rPr>
        <w:t xml:space="preserve">№ </w:t>
      </w:r>
      <w:r w:rsidRPr="00675ED6">
        <w:rPr>
          <w:rFonts w:cs="Times New Roman"/>
          <w:szCs w:val="28"/>
        </w:rPr>
        <w:t>1402-VIII</w:t>
      </w:r>
      <w:r>
        <w:rPr>
          <w:szCs w:val="28"/>
        </w:rPr>
        <w:t>.</w:t>
      </w:r>
    </w:p>
    <w:p w:rsidR="00871DF4" w:rsidRPr="00514E69" w:rsidRDefault="00871DF4" w:rsidP="00871DF4">
      <w:pPr>
        <w:spacing w:after="0" w:line="240" w:lineRule="auto"/>
        <w:ind w:firstLine="709"/>
        <w:jc w:val="both"/>
        <w:rPr>
          <w:color w:val="000000"/>
          <w:shd w:val="clear" w:color="auto" w:fill="FFFFFF"/>
        </w:rPr>
      </w:pPr>
      <w:r w:rsidRPr="00E06FE5">
        <w:rPr>
          <w:szCs w:val="28"/>
        </w:rPr>
        <w:t xml:space="preserve"> </w:t>
      </w:r>
      <w:r>
        <w:rPr>
          <w:color w:val="000000"/>
          <w:shd w:val="clear" w:color="auto" w:fill="FFFFFF"/>
        </w:rPr>
        <w:t>Правові та організаційні засади функціонування системи запобігання корупції в Україні, зміст та порядок застосування превентивних антикорупційних механізмів, правила щодо усунення наслідків корупційних правопорушень визначаються</w:t>
      </w:r>
      <w:r>
        <w:rPr>
          <w:rFonts w:cs="Times New Roman"/>
          <w:color w:val="000000"/>
          <w:shd w:val="clear" w:color="auto" w:fill="FFFFFF"/>
        </w:rPr>
        <w:t xml:space="preserve"> Законом </w:t>
      </w:r>
      <w:r>
        <w:rPr>
          <w:color w:val="000000"/>
          <w:shd w:val="clear" w:color="auto" w:fill="FFFFFF"/>
        </w:rPr>
        <w:t xml:space="preserve">України </w:t>
      </w:r>
      <w:r w:rsidRPr="00447383">
        <w:rPr>
          <w:color w:val="000000"/>
          <w:shd w:val="clear" w:color="auto" w:fill="FFFFFF"/>
        </w:rPr>
        <w:t xml:space="preserve">від </w:t>
      </w:r>
      <w:r w:rsidRPr="00447383">
        <w:rPr>
          <w:bCs/>
          <w:color w:val="000000"/>
          <w:shd w:val="clear" w:color="auto" w:fill="FFFFFF"/>
        </w:rPr>
        <w:t>14 жовтня 2014 року</w:t>
      </w:r>
      <w:r w:rsidRPr="00447383">
        <w:rPr>
          <w:color w:val="000000"/>
          <w:shd w:val="clear" w:color="auto" w:fill="FFFFFF"/>
        </w:rPr>
        <w:t xml:space="preserve"> </w:t>
      </w:r>
      <w:r>
        <w:rPr>
          <w:color w:val="000000"/>
          <w:shd w:val="clear" w:color="auto" w:fill="FFFFFF"/>
        </w:rPr>
        <w:t xml:space="preserve">            № 1700-</w:t>
      </w:r>
      <w:r>
        <w:rPr>
          <w:color w:val="000000"/>
          <w:shd w:val="clear" w:color="auto" w:fill="FFFFFF"/>
          <w:lang w:val="en-US"/>
        </w:rPr>
        <w:t>VII</w:t>
      </w:r>
      <w:r w:rsidRPr="00514E69">
        <w:rPr>
          <w:color w:val="000000"/>
          <w:shd w:val="clear" w:color="auto" w:fill="FFFFFF"/>
        </w:rPr>
        <w:t xml:space="preserve"> </w:t>
      </w:r>
      <w:r w:rsidRPr="00447383">
        <w:rPr>
          <w:color w:val="000000"/>
          <w:shd w:val="clear" w:color="auto" w:fill="FFFFFF"/>
        </w:rPr>
        <w:t>«Про</w:t>
      </w:r>
      <w:r>
        <w:rPr>
          <w:color w:val="000000"/>
          <w:shd w:val="clear" w:color="auto" w:fill="FFFFFF"/>
        </w:rPr>
        <w:t xml:space="preserve"> запобігання корупції» (далі – Закон № 1700-</w:t>
      </w:r>
      <w:r>
        <w:rPr>
          <w:color w:val="000000"/>
          <w:shd w:val="clear" w:color="auto" w:fill="FFFFFF"/>
          <w:lang w:val="en-US"/>
        </w:rPr>
        <w:t>VII</w:t>
      </w:r>
      <w:r>
        <w:rPr>
          <w:color w:val="000000"/>
          <w:shd w:val="clear" w:color="auto" w:fill="FFFFFF"/>
        </w:rPr>
        <w:t>).</w:t>
      </w:r>
    </w:p>
    <w:p w:rsidR="00871DF4" w:rsidRDefault="00871DF4" w:rsidP="00871DF4">
      <w:pPr>
        <w:spacing w:line="240" w:lineRule="auto"/>
        <w:ind w:firstLine="709"/>
        <w:contextualSpacing/>
        <w:jc w:val="both"/>
        <w:rPr>
          <w:rFonts w:cs="Times New Roman"/>
          <w:color w:val="000000"/>
          <w:szCs w:val="28"/>
          <w:shd w:val="clear" w:color="auto" w:fill="FFFFFF"/>
        </w:rPr>
      </w:pPr>
      <w:r>
        <w:rPr>
          <w:rFonts w:cs="Times New Roman"/>
          <w:color w:val="000000"/>
          <w:szCs w:val="28"/>
          <w:shd w:val="clear" w:color="auto" w:fill="FFFFFF"/>
        </w:rPr>
        <w:t xml:space="preserve">Відповідно до статті </w:t>
      </w:r>
      <w:r w:rsidRPr="00995343">
        <w:rPr>
          <w:rFonts w:cs="Times New Roman"/>
          <w:color w:val="000000"/>
          <w:szCs w:val="28"/>
          <w:shd w:val="clear" w:color="auto" w:fill="FFFFFF"/>
        </w:rPr>
        <w:t xml:space="preserve">3 </w:t>
      </w:r>
      <w:r w:rsidRPr="0056262E">
        <w:rPr>
          <w:szCs w:val="28"/>
        </w:rPr>
        <w:t>Закону № 1700-VII</w:t>
      </w:r>
      <w:r>
        <w:rPr>
          <w:rFonts w:cs="Times New Roman"/>
          <w:color w:val="000000"/>
          <w:szCs w:val="28"/>
          <w:shd w:val="clear" w:color="auto" w:fill="FFFFFF"/>
        </w:rPr>
        <w:t xml:space="preserve"> судді є суб</w:t>
      </w:r>
      <w:r w:rsidRPr="00995343">
        <w:rPr>
          <w:rFonts w:cs="Times New Roman"/>
          <w:color w:val="000000"/>
          <w:szCs w:val="28"/>
          <w:shd w:val="clear" w:color="auto" w:fill="FFFFFF"/>
        </w:rPr>
        <w:t>’єктами, на яких поширюються вимоги</w:t>
      </w:r>
      <w:r>
        <w:rPr>
          <w:rFonts w:cs="Times New Roman"/>
          <w:color w:val="000000"/>
          <w:szCs w:val="28"/>
          <w:shd w:val="clear" w:color="auto" w:fill="FFFFFF"/>
        </w:rPr>
        <w:t xml:space="preserve"> цього</w:t>
      </w:r>
      <w:r w:rsidRPr="00995343">
        <w:rPr>
          <w:rFonts w:cs="Times New Roman"/>
          <w:color w:val="000000"/>
          <w:szCs w:val="28"/>
          <w:shd w:val="clear" w:color="auto" w:fill="FFFFFF"/>
        </w:rPr>
        <w:t xml:space="preserve"> Закону, в тому числі щодо запобігання та врегулювання конфлікту інтересів.</w:t>
      </w:r>
    </w:p>
    <w:p w:rsidR="00871DF4" w:rsidRDefault="00871DF4" w:rsidP="00871DF4">
      <w:pPr>
        <w:spacing w:line="240" w:lineRule="auto"/>
        <w:ind w:firstLine="709"/>
        <w:contextualSpacing/>
        <w:jc w:val="both"/>
        <w:rPr>
          <w:szCs w:val="28"/>
        </w:rPr>
      </w:pPr>
      <w:r w:rsidRPr="00514E69">
        <w:rPr>
          <w:rFonts w:cs="Times New Roman"/>
          <w:szCs w:val="28"/>
        </w:rPr>
        <w:lastRenderedPageBreak/>
        <w:t>Вища рада правосуддя</w:t>
      </w:r>
      <w:r>
        <w:rPr>
          <w:rFonts w:cs="Times New Roman"/>
          <w:szCs w:val="28"/>
        </w:rPr>
        <w:t xml:space="preserve"> вважає обґрунтованим </w:t>
      </w:r>
      <w:r w:rsidRPr="00995343">
        <w:rPr>
          <w:rFonts w:cs="Times New Roman"/>
          <w:szCs w:val="28"/>
        </w:rPr>
        <w:t>приведенн</w:t>
      </w:r>
      <w:r w:rsidRPr="00DA7A10">
        <w:rPr>
          <w:szCs w:val="28"/>
        </w:rPr>
        <w:t>я у відповідність до положень Закону</w:t>
      </w:r>
      <w:r w:rsidRPr="00A81CA3">
        <w:rPr>
          <w:szCs w:val="28"/>
        </w:rPr>
        <w:t xml:space="preserve"> </w:t>
      </w:r>
      <w:r w:rsidRPr="0056262E">
        <w:rPr>
          <w:szCs w:val="28"/>
        </w:rPr>
        <w:t>№ 1700-VII</w:t>
      </w:r>
      <w:r w:rsidRPr="00A81CA3">
        <w:rPr>
          <w:szCs w:val="28"/>
        </w:rPr>
        <w:t xml:space="preserve"> понятійн</w:t>
      </w:r>
      <w:r>
        <w:rPr>
          <w:szCs w:val="28"/>
        </w:rPr>
        <w:t xml:space="preserve">ого </w:t>
      </w:r>
      <w:r w:rsidRPr="00A81CA3">
        <w:rPr>
          <w:szCs w:val="28"/>
        </w:rPr>
        <w:t>апарат</w:t>
      </w:r>
      <w:r>
        <w:rPr>
          <w:szCs w:val="28"/>
        </w:rPr>
        <w:t>у</w:t>
      </w:r>
      <w:r w:rsidRPr="00A81CA3">
        <w:rPr>
          <w:szCs w:val="28"/>
        </w:rPr>
        <w:t xml:space="preserve"> Закону</w:t>
      </w:r>
      <w:r>
        <w:rPr>
          <w:szCs w:val="28"/>
        </w:rPr>
        <w:t xml:space="preserve"> </w:t>
      </w:r>
      <w:r w:rsidRPr="00261F62">
        <w:rPr>
          <w:szCs w:val="28"/>
        </w:rPr>
        <w:t>№ 1402-VIII</w:t>
      </w:r>
      <w:r>
        <w:rPr>
          <w:szCs w:val="28"/>
        </w:rPr>
        <w:t xml:space="preserve"> з метою </w:t>
      </w:r>
      <w:r w:rsidRPr="00A81CA3">
        <w:rPr>
          <w:szCs w:val="28"/>
        </w:rPr>
        <w:t xml:space="preserve">уніфікації термінології, яка застосовується у </w:t>
      </w:r>
      <w:r w:rsidRPr="0056262E">
        <w:rPr>
          <w:szCs w:val="28"/>
        </w:rPr>
        <w:t>Закон</w:t>
      </w:r>
      <w:r>
        <w:rPr>
          <w:szCs w:val="28"/>
        </w:rPr>
        <w:t>і</w:t>
      </w:r>
      <w:r w:rsidRPr="0056262E">
        <w:rPr>
          <w:szCs w:val="28"/>
        </w:rPr>
        <w:t xml:space="preserve"> № 1700-VII</w:t>
      </w:r>
      <w:r w:rsidRPr="00A81CA3">
        <w:rPr>
          <w:szCs w:val="28"/>
        </w:rPr>
        <w:t xml:space="preserve">. </w:t>
      </w:r>
      <w:bookmarkStart w:id="3" w:name="n3733"/>
      <w:bookmarkEnd w:id="3"/>
    </w:p>
    <w:p w:rsidR="00871DF4" w:rsidRDefault="00871DF4" w:rsidP="00871DF4">
      <w:pPr>
        <w:spacing w:line="240" w:lineRule="auto"/>
        <w:ind w:firstLine="709"/>
        <w:contextualSpacing/>
        <w:jc w:val="both"/>
        <w:rPr>
          <w:rFonts w:cs="Times New Roman"/>
          <w:szCs w:val="28"/>
          <w:shd w:val="clear" w:color="auto" w:fill="FFFFFF"/>
        </w:rPr>
      </w:pPr>
      <w:r>
        <w:rPr>
          <w:rFonts w:cs="Times New Roman"/>
          <w:szCs w:val="28"/>
        </w:rPr>
        <w:t>Стосовно</w:t>
      </w:r>
      <w:r w:rsidRPr="00B56166">
        <w:rPr>
          <w:rFonts w:cs="Times New Roman"/>
          <w:szCs w:val="28"/>
        </w:rPr>
        <w:t xml:space="preserve"> запропонованих законопроектом змін до статей 54, 56, 70, 72, 84,</w:t>
      </w:r>
      <w:r>
        <w:rPr>
          <w:rFonts w:cs="Times New Roman"/>
          <w:szCs w:val="28"/>
        </w:rPr>
        <w:t xml:space="preserve"> </w:t>
      </w:r>
      <w:r w:rsidRPr="00B56166">
        <w:rPr>
          <w:rFonts w:cs="Times New Roman"/>
          <w:szCs w:val="28"/>
        </w:rPr>
        <w:t>85, 96 Закону № 1402-</w:t>
      </w:r>
      <w:r w:rsidRPr="00D06B13">
        <w:rPr>
          <w:rFonts w:cs="Times New Roman"/>
          <w:szCs w:val="28"/>
        </w:rPr>
        <w:t>VIII</w:t>
      </w:r>
      <w:r>
        <w:rPr>
          <w:rFonts w:cs="Times New Roman"/>
          <w:szCs w:val="28"/>
        </w:rPr>
        <w:t>, а саме заміни</w:t>
      </w:r>
      <w:r w:rsidRPr="00D06B13">
        <w:rPr>
          <w:rFonts w:cs="Times New Roman"/>
          <w:szCs w:val="28"/>
        </w:rPr>
        <w:t xml:space="preserve"> формулювань «законодавство у сфері запобігання корупції», «законода</w:t>
      </w:r>
      <w:r>
        <w:rPr>
          <w:rFonts w:cs="Times New Roman"/>
          <w:szCs w:val="28"/>
        </w:rPr>
        <w:t>вство про запобігання корупції»</w:t>
      </w:r>
      <w:r w:rsidRPr="00D06B13">
        <w:rPr>
          <w:rFonts w:cs="Times New Roman"/>
          <w:szCs w:val="28"/>
        </w:rPr>
        <w:t xml:space="preserve"> на «Закон України «Про запобігання корупції»</w:t>
      </w:r>
      <w:r>
        <w:rPr>
          <w:rFonts w:cs="Times New Roman"/>
          <w:szCs w:val="28"/>
        </w:rPr>
        <w:t>,</w:t>
      </w:r>
      <w:r w:rsidRPr="00D06B13">
        <w:rPr>
          <w:rFonts w:cs="Times New Roman"/>
          <w:szCs w:val="28"/>
        </w:rPr>
        <w:t xml:space="preserve">  слід звернути увагу на визначення терміну </w:t>
      </w:r>
      <w:r>
        <w:rPr>
          <w:rFonts w:cs="Times New Roman"/>
          <w:szCs w:val="28"/>
        </w:rPr>
        <w:t>«</w:t>
      </w:r>
      <w:r w:rsidRPr="00D06B13">
        <w:rPr>
          <w:rFonts w:cs="Times New Roman"/>
          <w:szCs w:val="28"/>
        </w:rPr>
        <w:t>законодавство</w:t>
      </w:r>
      <w:r>
        <w:rPr>
          <w:rFonts w:cs="Times New Roman"/>
          <w:szCs w:val="28"/>
        </w:rPr>
        <w:t>»</w:t>
      </w:r>
      <w:r w:rsidRPr="00D06B13">
        <w:rPr>
          <w:rFonts w:cs="Times New Roman"/>
          <w:szCs w:val="28"/>
        </w:rPr>
        <w:t xml:space="preserve">. </w:t>
      </w:r>
      <w:r w:rsidRPr="00D06B13">
        <w:rPr>
          <w:rFonts w:cs="Times New Roman"/>
          <w:szCs w:val="28"/>
          <w:shd w:val="clear" w:color="auto" w:fill="FFFFFF"/>
        </w:rPr>
        <w:t>Конституційний Суд України</w:t>
      </w:r>
      <w:r w:rsidRPr="00D06B13">
        <w:rPr>
          <w:rStyle w:val="a6"/>
          <w:szCs w:val="28"/>
          <w:shd w:val="clear" w:color="auto" w:fill="FFFFFF"/>
        </w:rPr>
        <w:footnoteReference w:id="3"/>
      </w:r>
      <w:r>
        <w:rPr>
          <w:rFonts w:cs="Times New Roman"/>
          <w:szCs w:val="28"/>
          <w:shd w:val="clear" w:color="auto" w:fill="FFFFFF"/>
        </w:rPr>
        <w:t xml:space="preserve"> </w:t>
      </w:r>
      <w:r w:rsidRPr="00D06B13">
        <w:rPr>
          <w:rFonts w:cs="Times New Roman"/>
          <w:szCs w:val="28"/>
          <w:shd w:val="clear" w:color="auto" w:fill="FFFFFF"/>
        </w:rPr>
        <w:t>дійшов висновку, що термін </w:t>
      </w:r>
      <w:r w:rsidRPr="00D06B13">
        <w:rPr>
          <w:rFonts w:cs="Times New Roman"/>
          <w:bCs/>
          <w:szCs w:val="28"/>
          <w:shd w:val="clear" w:color="auto" w:fill="FFFFFF"/>
        </w:rPr>
        <w:t>«законодавство»</w:t>
      </w:r>
      <w:r w:rsidRPr="00D06B13">
        <w:rPr>
          <w:rFonts w:cs="Times New Roman"/>
          <w:szCs w:val="28"/>
          <w:shd w:val="clear" w:color="auto" w:fill="FFFFFF"/>
        </w:rPr>
        <w:t xml:space="preserve">, який вживається в </w:t>
      </w:r>
      <w:r>
        <w:rPr>
          <w:rFonts w:cs="Times New Roman"/>
          <w:szCs w:val="28"/>
          <w:shd w:val="clear" w:color="auto" w:fill="FFFFFF"/>
        </w:rPr>
        <w:t>т</w:t>
      </w:r>
      <w:r w:rsidRPr="00D06B13">
        <w:rPr>
          <w:rFonts w:cs="Times New Roman"/>
          <w:szCs w:val="28"/>
          <w:shd w:val="clear" w:color="auto" w:fill="FFFFFF"/>
        </w:rPr>
        <w:t>ретій</w:t>
      </w:r>
      <w:r>
        <w:rPr>
          <w:rFonts w:cs="Times New Roman"/>
          <w:szCs w:val="28"/>
          <w:shd w:val="clear" w:color="auto" w:fill="FFFFFF"/>
        </w:rPr>
        <w:t xml:space="preserve"> частині </w:t>
      </w:r>
      <w:r w:rsidRPr="00D06B13">
        <w:rPr>
          <w:rFonts w:cs="Times New Roman"/>
          <w:szCs w:val="28"/>
          <w:shd w:val="clear" w:color="auto" w:fill="FFFFFF"/>
        </w:rPr>
        <w:t>статті 21 Кодексу законів про працю України щодо визначення сфери застосування контракту як особливої форми трудового договору, потрібно розуміти так, що </w:t>
      </w:r>
      <w:r w:rsidRPr="00D06B13">
        <w:rPr>
          <w:rFonts w:cs="Times New Roman"/>
          <w:bCs/>
          <w:szCs w:val="28"/>
          <w:shd w:val="clear" w:color="auto" w:fill="FFFFFF"/>
        </w:rPr>
        <w:t xml:space="preserve">ним охоплюються закони України, чинні міжнародні </w:t>
      </w:r>
      <w:r>
        <w:rPr>
          <w:rFonts w:cs="Times New Roman"/>
          <w:bCs/>
          <w:szCs w:val="28"/>
          <w:shd w:val="clear" w:color="auto" w:fill="FFFFFF"/>
        </w:rPr>
        <w:t>договори України, згода на обов</w:t>
      </w:r>
      <w:r w:rsidRPr="00D06B13">
        <w:rPr>
          <w:rFonts w:cs="Times New Roman"/>
          <w:bCs/>
          <w:szCs w:val="28"/>
          <w:shd w:val="clear" w:color="auto" w:fill="FFFFFF"/>
        </w:rPr>
        <w:t>’язковість яких надана Верховною Радою України, а також постанови Верховної Ради України, укази Президента України, декрети і постанови Кабінету Міністрів України, прийняті в межах їх</w:t>
      </w:r>
      <w:r>
        <w:rPr>
          <w:rFonts w:cs="Times New Roman"/>
          <w:bCs/>
          <w:szCs w:val="28"/>
          <w:shd w:val="clear" w:color="auto" w:fill="FFFFFF"/>
        </w:rPr>
        <w:t>ніх</w:t>
      </w:r>
      <w:r w:rsidRPr="00D06B13">
        <w:rPr>
          <w:rFonts w:cs="Times New Roman"/>
          <w:bCs/>
          <w:szCs w:val="28"/>
          <w:shd w:val="clear" w:color="auto" w:fill="FFFFFF"/>
        </w:rPr>
        <w:t xml:space="preserve"> повноважень та відповідно до Конституції України і законів України.</w:t>
      </w:r>
      <w:r w:rsidRPr="00D06B13">
        <w:rPr>
          <w:rFonts w:cs="Times New Roman"/>
          <w:szCs w:val="28"/>
          <w:shd w:val="clear" w:color="auto" w:fill="FFFFFF"/>
        </w:rPr>
        <w:t> </w:t>
      </w:r>
    </w:p>
    <w:p w:rsidR="00871DF4" w:rsidRPr="0061522B" w:rsidRDefault="00871DF4" w:rsidP="00871DF4">
      <w:pPr>
        <w:spacing w:line="240" w:lineRule="auto"/>
        <w:ind w:firstLine="709"/>
        <w:contextualSpacing/>
        <w:jc w:val="both"/>
        <w:rPr>
          <w:rFonts w:cs="Times New Roman"/>
          <w:szCs w:val="28"/>
          <w:shd w:val="clear" w:color="auto" w:fill="FFFFFF"/>
        </w:rPr>
      </w:pPr>
      <w:r w:rsidRPr="00D06B13">
        <w:rPr>
          <w:rFonts w:cs="Times New Roman"/>
          <w:szCs w:val="28"/>
          <w:shd w:val="clear" w:color="auto" w:fill="FFFFFF"/>
        </w:rPr>
        <w:t>Тобто Конституційний Суд України став</w:t>
      </w:r>
      <w:r>
        <w:rPr>
          <w:rFonts w:cs="Times New Roman"/>
          <w:szCs w:val="28"/>
          <w:shd w:val="clear" w:color="auto" w:fill="FFFFFF"/>
        </w:rPr>
        <w:t xml:space="preserve"> на позицію тлумачення поняття в широкому значенні, а запропонована законопроектом </w:t>
      </w:r>
      <w:r w:rsidRPr="00D06B13">
        <w:rPr>
          <w:rFonts w:cs="Times New Roman"/>
          <w:szCs w:val="28"/>
          <w:shd w:val="clear" w:color="auto" w:fill="FFFFFF"/>
        </w:rPr>
        <w:t>зміна звужує сферу дії зазначених норм.</w:t>
      </w:r>
    </w:p>
    <w:p w:rsidR="00871DF4" w:rsidRPr="00B56166" w:rsidRDefault="00871DF4" w:rsidP="00871DF4">
      <w:pPr>
        <w:spacing w:after="0" w:line="240" w:lineRule="auto"/>
        <w:ind w:firstLine="709"/>
        <w:jc w:val="both"/>
        <w:rPr>
          <w:rFonts w:cs="Times New Roman"/>
          <w:szCs w:val="28"/>
        </w:rPr>
      </w:pPr>
      <w:r w:rsidRPr="00D06B13">
        <w:rPr>
          <w:rFonts w:cs="Times New Roman"/>
          <w:szCs w:val="28"/>
        </w:rPr>
        <w:t>Окремо слід звернути увагу, щ</w:t>
      </w:r>
      <w:r>
        <w:rPr>
          <w:rFonts w:cs="Times New Roman"/>
          <w:szCs w:val="28"/>
        </w:rPr>
        <w:t xml:space="preserve">о відповідно до </w:t>
      </w:r>
      <w:proofErr w:type="spellStart"/>
      <w:r>
        <w:rPr>
          <w:rFonts w:cs="Times New Roman"/>
          <w:szCs w:val="28"/>
        </w:rPr>
        <w:t>нормопроектної</w:t>
      </w:r>
      <w:proofErr w:type="spellEnd"/>
      <w:r>
        <w:rPr>
          <w:rFonts w:cs="Times New Roman"/>
          <w:szCs w:val="28"/>
        </w:rPr>
        <w:t xml:space="preserve"> </w:t>
      </w:r>
      <w:r w:rsidRPr="00D06B13">
        <w:rPr>
          <w:rFonts w:cs="Times New Roman"/>
          <w:szCs w:val="28"/>
        </w:rPr>
        <w:t>техніки</w:t>
      </w:r>
      <w:r w:rsidRPr="00B56166">
        <w:rPr>
          <w:rFonts w:cs="Times New Roman"/>
          <w:szCs w:val="28"/>
        </w:rPr>
        <w:t xml:space="preserve"> при підготовці проекту закону необхідно враховувати, що закони не мають містити дублюючих норм. </w:t>
      </w:r>
    </w:p>
    <w:p w:rsidR="00871DF4" w:rsidRPr="0056262E" w:rsidRDefault="00871DF4" w:rsidP="00871DF4">
      <w:pPr>
        <w:spacing w:after="0" w:line="240" w:lineRule="auto"/>
        <w:ind w:firstLine="709"/>
        <w:jc w:val="both"/>
        <w:rPr>
          <w:szCs w:val="28"/>
        </w:rPr>
      </w:pPr>
      <w:r w:rsidRPr="00B56166">
        <w:rPr>
          <w:rFonts w:cs="Times New Roman"/>
          <w:szCs w:val="28"/>
        </w:rPr>
        <w:t xml:space="preserve">Саме з цією метою законопроектом пропонується внести зміни до </w:t>
      </w:r>
      <w:r>
        <w:rPr>
          <w:rFonts w:cs="Times New Roman"/>
          <w:szCs w:val="28"/>
        </w:rPr>
        <w:t xml:space="preserve">       </w:t>
      </w:r>
      <w:r w:rsidRPr="00B56166">
        <w:rPr>
          <w:rFonts w:cs="Times New Roman"/>
          <w:szCs w:val="28"/>
        </w:rPr>
        <w:t>статті 54 Закону № 1402-VIII, видаливши положення, згідно з яким суддя повинен дотримуватись вимог щодо несумісності, визначених законодавством у сфері запобігання корупції, враховуючи, що стаття 56 Закону № 1402-VIII в редакції проекту передбачає, що на суддів поширюється дія Закону № 1700-</w:t>
      </w:r>
      <w:r w:rsidRPr="0056262E">
        <w:rPr>
          <w:szCs w:val="28"/>
        </w:rPr>
        <w:t>VII.</w:t>
      </w:r>
    </w:p>
    <w:p w:rsidR="00871DF4" w:rsidRPr="0069759D" w:rsidRDefault="00871DF4" w:rsidP="00871DF4">
      <w:pPr>
        <w:spacing w:line="240" w:lineRule="auto"/>
        <w:ind w:firstLine="709"/>
        <w:contextualSpacing/>
        <w:jc w:val="both"/>
      </w:pPr>
      <w:r>
        <w:t xml:space="preserve">Водночас обов’язки суддів, передбачені в чинній редакції частини сьомої статті </w:t>
      </w:r>
      <w:r w:rsidRPr="0069759D">
        <w:t xml:space="preserve">56 Закону </w:t>
      </w:r>
      <w:r>
        <w:rPr>
          <w:color w:val="000000"/>
          <w:shd w:val="clear" w:color="auto" w:fill="FFFFFF"/>
        </w:rPr>
        <w:t xml:space="preserve">№ </w:t>
      </w:r>
      <w:r w:rsidRPr="00675ED6">
        <w:rPr>
          <w:rFonts w:cs="Times New Roman"/>
          <w:szCs w:val="28"/>
        </w:rPr>
        <w:t>1402-VIII</w:t>
      </w:r>
      <w:r>
        <w:rPr>
          <w:rFonts w:cs="Times New Roman"/>
          <w:szCs w:val="28"/>
        </w:rPr>
        <w:t>,</w:t>
      </w:r>
      <w:r>
        <w:rPr>
          <w:szCs w:val="28"/>
        </w:rPr>
        <w:t xml:space="preserve"> повною мірою </w:t>
      </w:r>
      <w:r>
        <w:t xml:space="preserve">узгоджуються з положеннями </w:t>
      </w:r>
      <w:r>
        <w:rPr>
          <w:color w:val="000000"/>
          <w:shd w:val="clear" w:color="auto" w:fill="FFFFFF"/>
        </w:rPr>
        <w:t>Закону № 1700-</w:t>
      </w:r>
      <w:r>
        <w:rPr>
          <w:color w:val="000000"/>
          <w:shd w:val="clear" w:color="auto" w:fill="FFFFFF"/>
          <w:lang w:val="en-US"/>
        </w:rPr>
        <w:t>VII</w:t>
      </w:r>
      <w:r>
        <w:rPr>
          <w:color w:val="000000"/>
          <w:shd w:val="clear" w:color="auto" w:fill="FFFFFF"/>
        </w:rPr>
        <w:t xml:space="preserve">, а запропоновані зміни призведуть до </w:t>
      </w:r>
      <w:proofErr w:type="spellStart"/>
      <w:r>
        <w:rPr>
          <w:color w:val="000000"/>
          <w:shd w:val="clear" w:color="auto" w:fill="FFFFFF"/>
        </w:rPr>
        <w:t>деконсолідації</w:t>
      </w:r>
      <w:proofErr w:type="spellEnd"/>
      <w:r>
        <w:rPr>
          <w:color w:val="000000"/>
          <w:shd w:val="clear" w:color="auto" w:fill="FFFFFF"/>
        </w:rPr>
        <w:t xml:space="preserve"> обов’язків судді, які наразі закріплені в спеціальному законі – Законі України </w:t>
      </w:r>
      <w:r w:rsidRPr="00675ED6">
        <w:rPr>
          <w:szCs w:val="28"/>
        </w:rPr>
        <w:t>«Про судоустрій і статус суддів»</w:t>
      </w:r>
      <w:r>
        <w:rPr>
          <w:szCs w:val="28"/>
        </w:rPr>
        <w:t>.</w:t>
      </w:r>
    </w:p>
    <w:p w:rsidR="00871DF4" w:rsidRDefault="00871DF4" w:rsidP="00871DF4">
      <w:pPr>
        <w:spacing w:after="0" w:line="240" w:lineRule="auto"/>
        <w:ind w:firstLine="709"/>
        <w:jc w:val="both"/>
        <w:rPr>
          <w:szCs w:val="28"/>
        </w:rPr>
      </w:pPr>
      <w:r>
        <w:rPr>
          <w:szCs w:val="28"/>
        </w:rPr>
        <w:t>Також слід звернути увагу, що стаття 56 Закону № 1700-VII</w:t>
      </w:r>
      <w:r w:rsidRPr="0056262E">
        <w:rPr>
          <w:szCs w:val="28"/>
        </w:rPr>
        <w:t xml:space="preserve"> </w:t>
      </w:r>
      <w:r>
        <w:rPr>
          <w:szCs w:val="28"/>
        </w:rPr>
        <w:t xml:space="preserve">визначає </w:t>
      </w:r>
      <w:r w:rsidRPr="0056262E">
        <w:rPr>
          <w:szCs w:val="28"/>
        </w:rPr>
        <w:t>порядок проведення спеціальної перевірки стосовно осіб</w:t>
      </w:r>
      <w:r>
        <w:rPr>
          <w:szCs w:val="28"/>
        </w:rPr>
        <w:t>,</w:t>
      </w:r>
      <w:r w:rsidRPr="0056262E">
        <w:rPr>
          <w:color w:val="000000"/>
          <w:szCs w:val="28"/>
          <w:shd w:val="clear" w:color="auto" w:fill="FFFFFF"/>
        </w:rPr>
        <w:t xml:space="preserve"> які претендують на зайняття посад, </w:t>
      </w:r>
      <w:r>
        <w:rPr>
          <w:color w:val="000000"/>
          <w:szCs w:val="28"/>
          <w:shd w:val="clear" w:color="auto" w:fill="FFFFFF"/>
        </w:rPr>
        <w:t>що</w:t>
      </w:r>
      <w:r w:rsidRPr="0056262E">
        <w:rPr>
          <w:color w:val="000000"/>
          <w:szCs w:val="28"/>
          <w:shd w:val="clear" w:color="auto" w:fill="FFFFFF"/>
        </w:rPr>
        <w:t xml:space="preserve"> передбачають зайняття відповідального або особливо відповідального становища, а також посад з підвищеним корупційним ризиком, </w:t>
      </w:r>
      <w:r w:rsidRPr="0056262E">
        <w:rPr>
          <w:szCs w:val="28"/>
        </w:rPr>
        <w:t>до яких віднесені</w:t>
      </w:r>
      <w:r>
        <w:rPr>
          <w:szCs w:val="28"/>
        </w:rPr>
        <w:t>,</w:t>
      </w:r>
      <w:r w:rsidRPr="0056262E">
        <w:rPr>
          <w:szCs w:val="28"/>
        </w:rPr>
        <w:t xml:space="preserve"> у тому числі</w:t>
      </w:r>
      <w:r>
        <w:rPr>
          <w:szCs w:val="28"/>
        </w:rPr>
        <w:t>,</w:t>
      </w:r>
      <w:r w:rsidRPr="0056262E">
        <w:rPr>
          <w:szCs w:val="28"/>
        </w:rPr>
        <w:t xml:space="preserve"> й судді, а </w:t>
      </w:r>
      <w:r>
        <w:rPr>
          <w:szCs w:val="28"/>
        </w:rPr>
        <w:t>з</w:t>
      </w:r>
      <w:r w:rsidRPr="0056262E">
        <w:rPr>
          <w:szCs w:val="28"/>
        </w:rPr>
        <w:t>гідно з положеннями частини першої статті 27 Закону № 1700-VII особи, які претендують на зайнятт</w:t>
      </w:r>
      <w:r>
        <w:rPr>
          <w:szCs w:val="28"/>
        </w:rPr>
        <w:t>я посади, зокрема, судді, зобов</w:t>
      </w:r>
      <w:r w:rsidRPr="0056262E">
        <w:rPr>
          <w:szCs w:val="28"/>
        </w:rPr>
        <w:t>’язані повідомити керівництво органу, на посаду в якому вони претендують, про працюючих у цьому органі близьких їм осіб.</w:t>
      </w:r>
    </w:p>
    <w:p w:rsidR="00871DF4" w:rsidRDefault="00871DF4" w:rsidP="00871DF4">
      <w:pPr>
        <w:spacing w:after="0" w:line="240" w:lineRule="auto"/>
        <w:ind w:firstLine="709"/>
        <w:jc w:val="both"/>
        <w:rPr>
          <w:szCs w:val="28"/>
        </w:rPr>
      </w:pPr>
      <w:r>
        <w:rPr>
          <w:szCs w:val="28"/>
        </w:rPr>
        <w:lastRenderedPageBreak/>
        <w:t xml:space="preserve">Законопроект пропонує змінами до статі 69 </w:t>
      </w:r>
      <w:r w:rsidRPr="00B56166">
        <w:rPr>
          <w:rFonts w:cs="Times New Roman"/>
          <w:szCs w:val="28"/>
        </w:rPr>
        <w:t>Закону № 1402-</w:t>
      </w:r>
      <w:r w:rsidRPr="00D06B13">
        <w:rPr>
          <w:rFonts w:cs="Times New Roman"/>
          <w:szCs w:val="28"/>
        </w:rPr>
        <w:t>VIII</w:t>
      </w:r>
      <w:r>
        <w:rPr>
          <w:rFonts w:cs="Times New Roman"/>
          <w:szCs w:val="28"/>
        </w:rPr>
        <w:t xml:space="preserve"> передбачити проведення стосовно кандидатів на посаду судді спеціальної перевірки в порядку, встановленому Законом </w:t>
      </w:r>
      <w:r>
        <w:rPr>
          <w:szCs w:val="28"/>
        </w:rPr>
        <w:t>№ 1700-VII.</w:t>
      </w:r>
    </w:p>
    <w:p w:rsidR="00871DF4" w:rsidRDefault="00871DF4" w:rsidP="00871DF4">
      <w:pPr>
        <w:spacing w:after="0" w:line="240" w:lineRule="auto"/>
        <w:ind w:firstLine="709"/>
        <w:jc w:val="both"/>
        <w:rPr>
          <w:color w:val="000000"/>
          <w:shd w:val="clear" w:color="auto" w:fill="FFFFFF"/>
        </w:rPr>
      </w:pPr>
      <w:r>
        <w:rPr>
          <w:szCs w:val="28"/>
        </w:rPr>
        <w:t>Водночас у розумінні статті 74</w:t>
      </w:r>
      <w:r w:rsidRPr="004426FD">
        <w:t xml:space="preserve"> </w:t>
      </w:r>
      <w:r w:rsidRPr="0069759D">
        <w:t>Закону</w:t>
      </w:r>
      <w:r>
        <w:rPr>
          <w:szCs w:val="28"/>
        </w:rPr>
        <w:t xml:space="preserve"> </w:t>
      </w:r>
      <w:r>
        <w:rPr>
          <w:color w:val="000000"/>
          <w:shd w:val="clear" w:color="auto" w:fill="FFFFFF"/>
        </w:rPr>
        <w:t xml:space="preserve">№ </w:t>
      </w:r>
      <w:r w:rsidRPr="00675ED6">
        <w:rPr>
          <w:rFonts w:cs="Times New Roman"/>
          <w:szCs w:val="28"/>
        </w:rPr>
        <w:t>1402-VIII</w:t>
      </w:r>
      <w:r>
        <w:rPr>
          <w:rFonts w:cs="Times New Roman"/>
          <w:szCs w:val="28"/>
        </w:rPr>
        <w:t xml:space="preserve"> спеціальна перевірка щодо кандидата на посаду судді є ширшою порівняно з перевіркою, визначеною </w:t>
      </w:r>
      <w:r>
        <w:rPr>
          <w:color w:val="000000"/>
          <w:shd w:val="clear" w:color="auto" w:fill="FFFFFF"/>
        </w:rPr>
        <w:t>Законом № 1700-</w:t>
      </w:r>
      <w:r>
        <w:rPr>
          <w:color w:val="000000"/>
          <w:shd w:val="clear" w:color="auto" w:fill="FFFFFF"/>
          <w:lang w:val="en-US"/>
        </w:rPr>
        <w:t>VII</w:t>
      </w:r>
      <w:r>
        <w:rPr>
          <w:color w:val="000000"/>
          <w:shd w:val="clear" w:color="auto" w:fill="FFFFFF"/>
        </w:rPr>
        <w:t xml:space="preserve">, оскільки кандидат на посаду судді, крім антикорупційної перевірки, проходить перевірку на відповідність іншим встановленим </w:t>
      </w:r>
      <w:r w:rsidRPr="0056262E">
        <w:rPr>
          <w:szCs w:val="28"/>
        </w:rPr>
        <w:t>Закон</w:t>
      </w:r>
      <w:r>
        <w:rPr>
          <w:szCs w:val="28"/>
        </w:rPr>
        <w:t xml:space="preserve">ом </w:t>
      </w:r>
      <w:r w:rsidRPr="0056262E">
        <w:rPr>
          <w:szCs w:val="28"/>
        </w:rPr>
        <w:t xml:space="preserve">№ 1402-VIII </w:t>
      </w:r>
      <w:r>
        <w:rPr>
          <w:color w:val="000000"/>
          <w:shd w:val="clear" w:color="auto" w:fill="FFFFFF"/>
        </w:rPr>
        <w:t>вимогам (освітнім, медичним, етичним тощо).</w:t>
      </w:r>
    </w:p>
    <w:p w:rsidR="00871DF4" w:rsidRDefault="00871DF4" w:rsidP="00871DF4">
      <w:pPr>
        <w:spacing w:after="0" w:line="240" w:lineRule="auto"/>
        <w:ind w:firstLine="709"/>
        <w:jc w:val="both"/>
        <w:rPr>
          <w:color w:val="000000"/>
          <w:shd w:val="clear" w:color="auto" w:fill="FFFFFF"/>
        </w:rPr>
      </w:pPr>
      <w:r>
        <w:rPr>
          <w:color w:val="000000"/>
          <w:shd w:val="clear" w:color="auto" w:fill="FFFFFF"/>
        </w:rPr>
        <w:t xml:space="preserve">А отже, запропоновані зміни містять термінологічну неузгодженість щодо категорії «спеціальна перевірка». </w:t>
      </w:r>
    </w:p>
    <w:p w:rsidR="00871DF4" w:rsidRDefault="00871DF4" w:rsidP="00871DF4">
      <w:pPr>
        <w:spacing w:line="240" w:lineRule="auto"/>
        <w:contextualSpacing/>
        <w:jc w:val="both"/>
        <w:rPr>
          <w:color w:val="000000"/>
          <w:szCs w:val="28"/>
        </w:rPr>
      </w:pPr>
    </w:p>
    <w:p w:rsidR="00871DF4" w:rsidRDefault="00871DF4" w:rsidP="00871DF4">
      <w:pPr>
        <w:spacing w:line="240" w:lineRule="auto"/>
        <w:ind w:firstLine="709"/>
        <w:contextualSpacing/>
        <w:jc w:val="both"/>
        <w:rPr>
          <w:szCs w:val="28"/>
        </w:rPr>
      </w:pPr>
      <w:r>
        <w:rPr>
          <w:color w:val="000000"/>
          <w:szCs w:val="28"/>
        </w:rPr>
        <w:t>4. З</w:t>
      </w:r>
      <w:r w:rsidRPr="0056262E">
        <w:rPr>
          <w:color w:val="000000"/>
          <w:szCs w:val="28"/>
        </w:rPr>
        <w:t>аконопроект</w:t>
      </w:r>
      <w:r>
        <w:rPr>
          <w:color w:val="000000"/>
          <w:szCs w:val="28"/>
        </w:rPr>
        <w:t xml:space="preserve">ом передбачено </w:t>
      </w:r>
      <w:r w:rsidRPr="0056262E">
        <w:rPr>
          <w:color w:val="000000"/>
          <w:szCs w:val="28"/>
        </w:rPr>
        <w:t xml:space="preserve"> зміни до пункту 4 частини дев’ятої </w:t>
      </w:r>
      <w:r>
        <w:rPr>
          <w:color w:val="000000"/>
          <w:szCs w:val="28"/>
        </w:rPr>
        <w:t xml:space="preserve">  </w:t>
      </w:r>
      <w:r w:rsidRPr="0056262E">
        <w:rPr>
          <w:color w:val="000000"/>
          <w:szCs w:val="28"/>
        </w:rPr>
        <w:t xml:space="preserve">статті 109 </w:t>
      </w:r>
      <w:r w:rsidRPr="0056262E">
        <w:rPr>
          <w:szCs w:val="28"/>
        </w:rPr>
        <w:t xml:space="preserve">Закону № 1402-VIII, </w:t>
      </w:r>
      <w:r>
        <w:rPr>
          <w:szCs w:val="28"/>
        </w:rPr>
        <w:t>згідно з чинною</w:t>
      </w:r>
      <w:r w:rsidRPr="0056262E">
        <w:rPr>
          <w:szCs w:val="28"/>
        </w:rPr>
        <w:t xml:space="preserve"> редакці</w:t>
      </w:r>
      <w:r>
        <w:rPr>
          <w:szCs w:val="28"/>
        </w:rPr>
        <w:t>єю</w:t>
      </w:r>
      <w:r w:rsidRPr="0056262E">
        <w:rPr>
          <w:szCs w:val="28"/>
        </w:rPr>
        <w:t xml:space="preserve"> якого визнання судом судді винним у вчиненні корупційного правопорушення або</w:t>
      </w:r>
      <w:r w:rsidRPr="00F10864">
        <w:rPr>
          <w:szCs w:val="28"/>
        </w:rPr>
        <w:t xml:space="preserve"> правопор</w:t>
      </w:r>
      <w:r>
        <w:rPr>
          <w:szCs w:val="28"/>
        </w:rPr>
        <w:t>ушення, пов’язаного з корупцією, може бути визнане істотним дисциплінарним проступком або грубим нехтуванням обов’язками судді.</w:t>
      </w:r>
    </w:p>
    <w:p w:rsidR="00871DF4" w:rsidRPr="00F10864" w:rsidRDefault="00871DF4" w:rsidP="00871DF4">
      <w:pPr>
        <w:spacing w:line="240" w:lineRule="auto"/>
        <w:ind w:firstLine="709"/>
        <w:contextualSpacing/>
        <w:jc w:val="both"/>
        <w:rPr>
          <w:szCs w:val="28"/>
        </w:rPr>
      </w:pPr>
      <w:r>
        <w:rPr>
          <w:szCs w:val="28"/>
        </w:rPr>
        <w:t xml:space="preserve">Законопроект пропонує внести до цього пункту зміни та передбачити, що  істотним </w:t>
      </w:r>
      <w:r w:rsidRPr="00F10864">
        <w:rPr>
          <w:szCs w:val="28"/>
        </w:rPr>
        <w:t>дисциплінарн</w:t>
      </w:r>
      <w:r>
        <w:rPr>
          <w:szCs w:val="28"/>
        </w:rPr>
        <w:t xml:space="preserve">им </w:t>
      </w:r>
      <w:r w:rsidRPr="00F10864">
        <w:rPr>
          <w:szCs w:val="28"/>
        </w:rPr>
        <w:t>проступк</w:t>
      </w:r>
      <w:r>
        <w:rPr>
          <w:szCs w:val="28"/>
        </w:rPr>
        <w:t>ом</w:t>
      </w:r>
      <w:r w:rsidRPr="00F10864">
        <w:rPr>
          <w:szCs w:val="28"/>
        </w:rPr>
        <w:t xml:space="preserve"> або груб</w:t>
      </w:r>
      <w:r>
        <w:rPr>
          <w:szCs w:val="28"/>
        </w:rPr>
        <w:t xml:space="preserve">им </w:t>
      </w:r>
      <w:r w:rsidRPr="00F10864">
        <w:rPr>
          <w:szCs w:val="28"/>
        </w:rPr>
        <w:t>н</w:t>
      </w:r>
      <w:r>
        <w:rPr>
          <w:szCs w:val="28"/>
        </w:rPr>
        <w:t>ехтуванням обов’язками судді може бути визнане набрання</w:t>
      </w:r>
      <w:r w:rsidRPr="00F10864">
        <w:rPr>
          <w:szCs w:val="28"/>
        </w:rPr>
        <w:t xml:space="preserve"> законної сили рішення</w:t>
      </w:r>
      <w:r>
        <w:rPr>
          <w:szCs w:val="28"/>
        </w:rPr>
        <w:t>м</w:t>
      </w:r>
      <w:r w:rsidRPr="00F10864">
        <w:rPr>
          <w:szCs w:val="28"/>
        </w:rPr>
        <w:t xml:space="preserve"> суду, яким</w:t>
      </w:r>
      <w:r>
        <w:rPr>
          <w:szCs w:val="28"/>
        </w:rPr>
        <w:t xml:space="preserve"> суддю</w:t>
      </w:r>
      <w:r w:rsidRPr="00F10864">
        <w:rPr>
          <w:szCs w:val="28"/>
        </w:rPr>
        <w:t xml:space="preserve"> притягнуто до адміністративної відповідальності за вчинення адміністративного правопорушення та накладено стягнення у виді позбавлення права обіймати посади або займатися діяльністю, що пов’язані з виконанням функцій держави або місцевого самоврядування.</w:t>
      </w:r>
    </w:p>
    <w:p w:rsidR="00871DF4" w:rsidRPr="00A014CA" w:rsidRDefault="00871DF4" w:rsidP="00871DF4">
      <w:pPr>
        <w:spacing w:line="240" w:lineRule="auto"/>
        <w:ind w:firstLine="709"/>
        <w:contextualSpacing/>
        <w:jc w:val="both"/>
      </w:pPr>
      <w:r>
        <w:t xml:space="preserve">Відповідно до чинної редакції пункту </w:t>
      </w:r>
      <w:r>
        <w:rPr>
          <w:color w:val="000000"/>
          <w:szCs w:val="28"/>
        </w:rPr>
        <w:t xml:space="preserve">4 частини дев’ятої статті </w:t>
      </w:r>
      <w:r w:rsidRPr="00F10864">
        <w:rPr>
          <w:color w:val="000000"/>
          <w:szCs w:val="28"/>
        </w:rPr>
        <w:t xml:space="preserve">109 </w:t>
      </w:r>
      <w:r w:rsidRPr="00F10864">
        <w:rPr>
          <w:szCs w:val="28"/>
        </w:rPr>
        <w:t>Закону № 1402-VIII</w:t>
      </w:r>
      <w:r>
        <w:t xml:space="preserve"> суддя підлягає звільненню з посади за вчинення істотного дисциплінарного проступку, хоча його порушення може бути незначним, а отже, запропонована </w:t>
      </w:r>
      <w:r w:rsidRPr="00F10864">
        <w:rPr>
          <w:szCs w:val="28"/>
        </w:rPr>
        <w:t>законопроект</w:t>
      </w:r>
      <w:r>
        <w:rPr>
          <w:szCs w:val="28"/>
        </w:rPr>
        <w:t>ом</w:t>
      </w:r>
      <w:r>
        <w:t xml:space="preserve"> зміна є такою, що покращує становище особи, і є цілком обґрунтованою.</w:t>
      </w:r>
    </w:p>
    <w:p w:rsidR="00871DF4" w:rsidRDefault="00871DF4" w:rsidP="00871DF4">
      <w:pPr>
        <w:spacing w:line="240" w:lineRule="auto"/>
        <w:ind w:firstLine="709"/>
        <w:contextualSpacing/>
        <w:jc w:val="both"/>
        <w:rPr>
          <w:szCs w:val="28"/>
        </w:rPr>
      </w:pPr>
      <w:r>
        <w:t xml:space="preserve">Так само з огляду на межі повноважень Вищої ради правосуддя </w:t>
      </w:r>
      <w:r w:rsidRPr="00B265BB">
        <w:rPr>
          <w:rFonts w:cs="Times New Roman"/>
          <w:szCs w:val="28"/>
        </w:rPr>
        <w:t xml:space="preserve">вбачаються доцільними </w:t>
      </w:r>
      <w:r w:rsidRPr="00A014CA">
        <w:rPr>
          <w:szCs w:val="28"/>
        </w:rPr>
        <w:t xml:space="preserve">запропоновані законопроектом № 2815 </w:t>
      </w:r>
      <w:r>
        <w:rPr>
          <w:szCs w:val="28"/>
        </w:rPr>
        <w:t xml:space="preserve">зміни </w:t>
      </w:r>
      <w:r w:rsidRPr="008141C5">
        <w:rPr>
          <w:szCs w:val="28"/>
        </w:rPr>
        <w:t xml:space="preserve">до </w:t>
      </w:r>
      <w:r>
        <w:rPr>
          <w:szCs w:val="28"/>
        </w:rPr>
        <w:t xml:space="preserve">     </w:t>
      </w:r>
      <w:r w:rsidRPr="008141C5">
        <w:rPr>
          <w:szCs w:val="28"/>
        </w:rPr>
        <w:t xml:space="preserve">статті 106 Закону </w:t>
      </w:r>
      <w:r w:rsidRPr="008141C5">
        <w:rPr>
          <w:color w:val="000000"/>
          <w:szCs w:val="28"/>
          <w:shd w:val="clear" w:color="auto" w:fill="FFFFFF"/>
        </w:rPr>
        <w:t xml:space="preserve">№ </w:t>
      </w:r>
      <w:r w:rsidRPr="008141C5">
        <w:rPr>
          <w:rFonts w:cs="Times New Roman"/>
          <w:szCs w:val="28"/>
        </w:rPr>
        <w:t xml:space="preserve">1402-VIII, згідно з якими </w:t>
      </w:r>
      <w:r>
        <w:rPr>
          <w:rFonts w:cs="Times New Roman"/>
          <w:szCs w:val="28"/>
        </w:rPr>
        <w:t xml:space="preserve">з переліку підстав дисциплінарної відповідальності судді виключаться такі: </w:t>
      </w:r>
      <w:r w:rsidRPr="008141C5">
        <w:rPr>
          <w:szCs w:val="28"/>
        </w:rPr>
        <w:t xml:space="preserve">неподання або несвоєчасне подання для оприлюднення декларації особи, уповноваженої на виконання функцій держави або місцевого </w:t>
      </w:r>
      <w:r w:rsidRPr="00B265BB">
        <w:rPr>
          <w:szCs w:val="28"/>
        </w:rPr>
        <w:t>самоврядування, в порядку, встановленому законодавством у сфері запобігання корупції</w:t>
      </w:r>
      <w:r>
        <w:rPr>
          <w:szCs w:val="28"/>
        </w:rPr>
        <w:t>;</w:t>
      </w:r>
      <w:r w:rsidRPr="00B265BB">
        <w:rPr>
          <w:szCs w:val="28"/>
        </w:rPr>
        <w:t xml:space="preserve"> зазначення в декларації особи, уповноваженої на виконання функцій держави або місцевого самоврядування, завідомо неправдивих відомостей або умисне </w:t>
      </w:r>
      <w:proofErr w:type="spellStart"/>
      <w:r w:rsidRPr="00B265BB">
        <w:rPr>
          <w:szCs w:val="28"/>
        </w:rPr>
        <w:t>незазначення</w:t>
      </w:r>
      <w:proofErr w:type="spellEnd"/>
      <w:r w:rsidRPr="00B265BB">
        <w:rPr>
          <w:szCs w:val="28"/>
        </w:rPr>
        <w:t xml:space="preserve"> відомостей, визначени</w:t>
      </w:r>
      <w:r>
        <w:rPr>
          <w:szCs w:val="28"/>
        </w:rPr>
        <w:t>х законодавством. Визначається єдина підстава – визнання судді винним у вчиненні правопорушення, пов’язаного з корупцією.</w:t>
      </w:r>
    </w:p>
    <w:p w:rsidR="00871DF4" w:rsidRDefault="00871DF4" w:rsidP="00871DF4">
      <w:pPr>
        <w:spacing w:line="240" w:lineRule="auto"/>
        <w:contextualSpacing/>
        <w:jc w:val="both"/>
        <w:rPr>
          <w:szCs w:val="28"/>
        </w:rPr>
      </w:pPr>
    </w:p>
    <w:p w:rsidR="00871DF4" w:rsidRDefault="00871DF4" w:rsidP="00871DF4">
      <w:pPr>
        <w:spacing w:line="240" w:lineRule="auto"/>
        <w:ind w:firstLine="709"/>
        <w:contextualSpacing/>
        <w:jc w:val="both"/>
        <w:rPr>
          <w:szCs w:val="28"/>
        </w:rPr>
      </w:pPr>
      <w:r>
        <w:rPr>
          <w:szCs w:val="28"/>
        </w:rPr>
        <w:t>5. З</w:t>
      </w:r>
      <w:r w:rsidRPr="00F10864">
        <w:rPr>
          <w:szCs w:val="28"/>
        </w:rPr>
        <w:t>аконопроект № 2815 містить норми, застосуван</w:t>
      </w:r>
      <w:r>
        <w:rPr>
          <w:szCs w:val="28"/>
        </w:rPr>
        <w:t>ня яких може викликати труднощі.</w:t>
      </w:r>
    </w:p>
    <w:p w:rsidR="00871DF4" w:rsidRPr="00AF5211" w:rsidRDefault="00871DF4" w:rsidP="00871DF4">
      <w:pPr>
        <w:spacing w:line="240" w:lineRule="auto"/>
        <w:ind w:firstLine="709"/>
        <w:contextualSpacing/>
        <w:jc w:val="both"/>
        <w:rPr>
          <w:szCs w:val="28"/>
        </w:rPr>
      </w:pPr>
      <w:r w:rsidRPr="00F10864">
        <w:rPr>
          <w:szCs w:val="28"/>
        </w:rPr>
        <w:t xml:space="preserve">Так, </w:t>
      </w:r>
      <w:r>
        <w:rPr>
          <w:szCs w:val="28"/>
        </w:rPr>
        <w:t xml:space="preserve">запропонованими </w:t>
      </w:r>
      <w:r w:rsidRPr="00F10864">
        <w:rPr>
          <w:szCs w:val="28"/>
        </w:rPr>
        <w:t>змінами до статті 65 Закону № 1402-VIII «Вимоги до присяжного» передбачено, що до списків</w:t>
      </w:r>
      <w:r>
        <w:rPr>
          <w:szCs w:val="28"/>
        </w:rPr>
        <w:t xml:space="preserve"> присяжних </w:t>
      </w:r>
      <w:r w:rsidRPr="00F10864">
        <w:rPr>
          <w:szCs w:val="28"/>
        </w:rPr>
        <w:t xml:space="preserve">не включаються </w:t>
      </w:r>
      <w:r w:rsidRPr="00AF5211">
        <w:rPr>
          <w:szCs w:val="28"/>
        </w:rPr>
        <w:lastRenderedPageBreak/>
        <w:t>громадяни</w:t>
      </w:r>
      <w:r>
        <w:rPr>
          <w:szCs w:val="28"/>
        </w:rPr>
        <w:t>,</w:t>
      </w:r>
      <w:r w:rsidRPr="00AF5211">
        <w:rPr>
          <w:szCs w:val="28"/>
        </w:rPr>
        <w:t xml:space="preserve"> «які вважаються такими, що піддані адміністративному стягненню у виді позбавлення права обіймати посади або займатися діяльністю, що пов’язані з виконанням функцій держави або місцевого самоврядування, за вчинення адміністративного правопорушення</w:t>
      </w:r>
      <w:r>
        <w:rPr>
          <w:szCs w:val="28"/>
        </w:rPr>
        <w:t xml:space="preserve">». Такі самі обмеження законопроект пропонує передбачити у статті 87 Закону </w:t>
      </w:r>
      <w:r w:rsidRPr="00261F62">
        <w:rPr>
          <w:szCs w:val="28"/>
        </w:rPr>
        <w:t>№ 1402-VIII</w:t>
      </w:r>
      <w:r>
        <w:rPr>
          <w:szCs w:val="28"/>
        </w:rPr>
        <w:t>, якою визначено перелік осіб, які не можуть бути членами Громадської ради доброчесності та Вищої кваліфікаційної комісії суддів України.</w:t>
      </w:r>
    </w:p>
    <w:p w:rsidR="00871DF4" w:rsidRDefault="00871DF4" w:rsidP="00871DF4">
      <w:pPr>
        <w:spacing w:after="0" w:line="240" w:lineRule="auto"/>
        <w:ind w:firstLine="709"/>
        <w:jc w:val="both"/>
        <w:rPr>
          <w:szCs w:val="28"/>
        </w:rPr>
      </w:pPr>
      <w:r>
        <w:rPr>
          <w:szCs w:val="28"/>
        </w:rPr>
        <w:t>Поняття «</w:t>
      </w:r>
      <w:r w:rsidRPr="00AF5211">
        <w:rPr>
          <w:szCs w:val="28"/>
        </w:rPr>
        <w:t>вважаються такими, що піддані адміністративному стягненню</w:t>
      </w:r>
      <w:r>
        <w:rPr>
          <w:szCs w:val="28"/>
        </w:rPr>
        <w:t>»  є нечітким та  не має законодавчого визначення.</w:t>
      </w:r>
    </w:p>
    <w:p w:rsidR="00871DF4" w:rsidRDefault="00871DF4" w:rsidP="00871DF4">
      <w:pPr>
        <w:spacing w:after="0" w:line="240" w:lineRule="auto"/>
        <w:ind w:firstLine="709"/>
        <w:jc w:val="both"/>
      </w:pPr>
      <w:r>
        <w:rPr>
          <w:rFonts w:cs="Times New Roman"/>
          <w:color w:val="000000"/>
          <w:szCs w:val="28"/>
        </w:rPr>
        <w:t>Є</w:t>
      </w:r>
      <w:r w:rsidRPr="00684C35">
        <w:rPr>
          <w:rFonts w:cs="Times New Roman"/>
          <w:color w:val="000000"/>
          <w:szCs w:val="28"/>
        </w:rPr>
        <w:t xml:space="preserve">вропейський суд з прав людини неодноразово звертав увагу на недосконалість законодавства </w:t>
      </w:r>
      <w:r>
        <w:rPr>
          <w:rFonts w:cs="Times New Roman"/>
          <w:color w:val="000000"/>
          <w:szCs w:val="28"/>
        </w:rPr>
        <w:t>України та</w:t>
      </w:r>
      <w:r w:rsidRPr="00356F4B">
        <w:rPr>
          <w:rFonts w:cs="Times New Roman"/>
          <w:color w:val="000000"/>
          <w:szCs w:val="28"/>
        </w:rPr>
        <w:t xml:space="preserve"> необхідність дотримуватися принципу правової визначеності </w:t>
      </w:r>
      <w:r>
        <w:rPr>
          <w:rFonts w:cs="Times New Roman"/>
          <w:color w:val="000000"/>
          <w:szCs w:val="28"/>
        </w:rPr>
        <w:t xml:space="preserve">та «якості закону» </w:t>
      </w:r>
      <w:r w:rsidRPr="00356F4B">
        <w:rPr>
          <w:rFonts w:cs="Times New Roman"/>
          <w:color w:val="000000"/>
          <w:szCs w:val="28"/>
        </w:rPr>
        <w:t>(</w:t>
      </w:r>
      <w:r>
        <w:rPr>
          <w:rFonts w:cs="Times New Roman"/>
          <w:color w:val="000000"/>
          <w:szCs w:val="28"/>
        </w:rPr>
        <w:t xml:space="preserve">рішення у </w:t>
      </w:r>
      <w:r w:rsidRPr="00356F4B">
        <w:rPr>
          <w:rFonts w:cs="Times New Roman"/>
          <w:color w:val="000000"/>
          <w:szCs w:val="28"/>
        </w:rPr>
        <w:t>справ</w:t>
      </w:r>
      <w:r>
        <w:rPr>
          <w:rFonts w:cs="Times New Roman"/>
          <w:color w:val="000000"/>
          <w:szCs w:val="28"/>
        </w:rPr>
        <w:t>ах</w:t>
      </w:r>
      <w:r w:rsidRPr="00356F4B">
        <w:rPr>
          <w:rFonts w:cs="Times New Roman"/>
          <w:color w:val="000000"/>
          <w:szCs w:val="28"/>
        </w:rPr>
        <w:t xml:space="preserve"> «</w:t>
      </w:r>
      <w:proofErr w:type="spellStart"/>
      <w:r w:rsidRPr="00356F4B">
        <w:rPr>
          <w:rFonts w:cs="Times New Roman"/>
          <w:color w:val="000000"/>
          <w:szCs w:val="28"/>
        </w:rPr>
        <w:t>Корецький</w:t>
      </w:r>
      <w:proofErr w:type="spellEnd"/>
      <w:r w:rsidRPr="00356F4B">
        <w:rPr>
          <w:rFonts w:cs="Times New Roman"/>
          <w:color w:val="000000"/>
          <w:szCs w:val="28"/>
        </w:rPr>
        <w:t xml:space="preserve"> та інші проти України», «</w:t>
      </w:r>
      <w:proofErr w:type="spellStart"/>
      <w:r w:rsidRPr="00356F4B">
        <w:rPr>
          <w:rFonts w:cs="Times New Roman"/>
          <w:color w:val="000000"/>
          <w:szCs w:val="28"/>
        </w:rPr>
        <w:t>Єлоєв</w:t>
      </w:r>
      <w:proofErr w:type="spellEnd"/>
      <w:r w:rsidRPr="00356F4B">
        <w:rPr>
          <w:rFonts w:cs="Times New Roman"/>
          <w:color w:val="000000"/>
          <w:szCs w:val="28"/>
        </w:rPr>
        <w:t xml:space="preserve"> проти України»</w:t>
      </w:r>
      <w:r>
        <w:rPr>
          <w:rFonts w:cs="Times New Roman"/>
          <w:color w:val="000000"/>
          <w:szCs w:val="28"/>
        </w:rPr>
        <w:t>, «</w:t>
      </w:r>
      <w:proofErr w:type="spellStart"/>
      <w:r>
        <w:rPr>
          <w:rFonts w:cs="Times New Roman"/>
          <w:color w:val="000000"/>
          <w:szCs w:val="28"/>
        </w:rPr>
        <w:t>Новік</w:t>
      </w:r>
      <w:proofErr w:type="spellEnd"/>
      <w:r>
        <w:rPr>
          <w:rFonts w:cs="Times New Roman"/>
          <w:color w:val="000000"/>
          <w:szCs w:val="28"/>
        </w:rPr>
        <w:t xml:space="preserve"> проти України»). </w:t>
      </w:r>
      <w:r>
        <w:rPr>
          <w:lang w:val="ru-RU"/>
        </w:rPr>
        <w:t>П</w:t>
      </w:r>
      <w:proofErr w:type="spellStart"/>
      <w:r>
        <w:t>ринцип</w:t>
      </w:r>
      <w:proofErr w:type="spellEnd"/>
      <w:r>
        <w:t xml:space="preserve"> правової визначеності покликаний гарантувати ефективну дію принципу верховенства права. Він виявляє себе як на етапі правотворчості, так і на етапі правозастосування. </w:t>
      </w:r>
    </w:p>
    <w:p w:rsidR="00871DF4" w:rsidRDefault="00871DF4" w:rsidP="00871DF4">
      <w:pPr>
        <w:spacing w:after="0" w:line="240" w:lineRule="auto"/>
        <w:ind w:firstLine="709"/>
        <w:jc w:val="both"/>
      </w:pPr>
      <w:r>
        <w:t xml:space="preserve">Вимоги до нормативно-правових актів можуть бути розподілені на змістовні і процедурні. Змістовні вимоги потребують, щоб нормативно-правові акти були зрозумілими (доступними), несуперечливими і пропонували повне врегулювання суспільних відносин, не допускаючи існування прогалин. Цьому сприяє однозначне та відносно стійке значення понять, які використовуються в законодавстві, що також може бути досягнуто за допомогою правових дефініцій. </w:t>
      </w:r>
    </w:p>
    <w:p w:rsidR="00871DF4" w:rsidRPr="00871DF4" w:rsidRDefault="00871DF4" w:rsidP="00871DF4">
      <w:pPr>
        <w:pStyle w:val="a3"/>
        <w:ind w:firstLine="851"/>
        <w:jc w:val="both"/>
        <w:rPr>
          <w:rFonts w:cs="Times New Roman"/>
          <w:i/>
          <w:szCs w:val="28"/>
          <w:lang w:val="ru-RU"/>
        </w:rPr>
      </w:pPr>
      <w:r w:rsidRPr="00871DF4">
        <w:rPr>
          <w:rFonts w:cs="Times New Roman"/>
          <w:szCs w:val="28"/>
          <w:shd w:val="clear" w:color="auto" w:fill="FFFFFF"/>
        </w:rPr>
        <w:t>Венеційська комісія у своєму висновку щодо Румунії зазначила:</w:t>
      </w:r>
      <w:r w:rsidRPr="00871DF4">
        <w:rPr>
          <w:rFonts w:cs="Times New Roman"/>
          <w:i/>
          <w:szCs w:val="28"/>
          <w:shd w:val="clear" w:color="auto" w:fill="FFFFFF"/>
        </w:rPr>
        <w:t> </w:t>
      </w:r>
      <w:r w:rsidRPr="00871DF4">
        <w:rPr>
          <w:rStyle w:val="a9"/>
          <w:i w:val="0"/>
          <w:szCs w:val="28"/>
          <w:bdr w:val="none" w:sz="0" w:space="0" w:color="auto" w:frame="1"/>
          <w:shd w:val="clear" w:color="auto" w:fill="FFFFFF"/>
        </w:rPr>
        <w:t>«відповідно до контрольного списку критеріїв верховенства права ясність, передбачуваність, послідовність і узгодженість законодавчих рамок, а також стабільність законодавства є основними цілями для будь-якого правового порядку, заснованого на принципах верховенства права»</w:t>
      </w:r>
      <w:r w:rsidRPr="00871DF4">
        <w:rPr>
          <w:rStyle w:val="a6"/>
          <w:i/>
          <w:szCs w:val="28"/>
          <w:bdr w:val="none" w:sz="0" w:space="0" w:color="auto" w:frame="1"/>
          <w:shd w:val="clear" w:color="auto" w:fill="FFFFFF"/>
        </w:rPr>
        <w:footnoteReference w:id="4"/>
      </w:r>
      <w:r w:rsidRPr="00871DF4">
        <w:rPr>
          <w:rFonts w:cs="Times New Roman"/>
          <w:i/>
          <w:szCs w:val="28"/>
          <w:lang w:val="ru-RU"/>
        </w:rPr>
        <w:t>.</w:t>
      </w:r>
    </w:p>
    <w:p w:rsidR="00871DF4" w:rsidRDefault="00871DF4" w:rsidP="00871DF4">
      <w:pPr>
        <w:pStyle w:val="a3"/>
        <w:ind w:firstLine="851"/>
        <w:jc w:val="both"/>
        <w:rPr>
          <w:rFonts w:cs="Times New Roman"/>
          <w:szCs w:val="28"/>
          <w:shd w:val="clear" w:color="auto" w:fill="FFFFFF"/>
        </w:rPr>
      </w:pPr>
      <w:r>
        <w:rPr>
          <w:rFonts w:cs="Times New Roman"/>
          <w:szCs w:val="28"/>
        </w:rPr>
        <w:t xml:space="preserve">Відповідно до загальних </w:t>
      </w:r>
      <w:r w:rsidRPr="00450E57">
        <w:rPr>
          <w:rFonts w:cs="Times New Roman"/>
          <w:szCs w:val="28"/>
        </w:rPr>
        <w:t>вимог</w:t>
      </w:r>
      <w:r>
        <w:rPr>
          <w:rFonts w:cs="Times New Roman"/>
          <w:szCs w:val="28"/>
        </w:rPr>
        <w:t xml:space="preserve"> </w:t>
      </w:r>
      <w:proofErr w:type="spellStart"/>
      <w:r>
        <w:rPr>
          <w:rFonts w:cs="Times New Roman"/>
          <w:szCs w:val="28"/>
        </w:rPr>
        <w:t>нормопроектної</w:t>
      </w:r>
      <w:proofErr w:type="spellEnd"/>
      <w:r>
        <w:rPr>
          <w:rFonts w:cs="Times New Roman"/>
          <w:szCs w:val="28"/>
        </w:rPr>
        <w:t xml:space="preserve"> </w:t>
      </w:r>
      <w:r w:rsidRPr="00DD1CFE">
        <w:rPr>
          <w:rFonts w:cs="Times New Roman"/>
          <w:szCs w:val="28"/>
        </w:rPr>
        <w:t>техніки проекти</w:t>
      </w:r>
      <w:r w:rsidRPr="00DD1CFE">
        <w:rPr>
          <w:rFonts w:cs="Times New Roman"/>
          <w:szCs w:val="28"/>
          <w:lang w:val="ru-RU"/>
        </w:rPr>
        <w:t xml:space="preserve"> </w:t>
      </w:r>
      <w:r>
        <w:t xml:space="preserve">законів та нормативно-правових </w:t>
      </w:r>
      <w:r w:rsidRPr="00BC1E89">
        <w:t>акт</w:t>
      </w:r>
      <w:r>
        <w:t>ів повинні</w:t>
      </w:r>
      <w:r w:rsidRPr="00B41845">
        <w:rPr>
          <w:rStyle w:val="apple-converted-space"/>
          <w:rFonts w:ascii="Verdana" w:hAnsi="Verdana"/>
          <w:sz w:val="19"/>
          <w:szCs w:val="19"/>
          <w:shd w:val="clear" w:color="auto" w:fill="FFFFFF"/>
        </w:rPr>
        <w:t xml:space="preserve"> </w:t>
      </w:r>
      <w:r w:rsidRPr="00B41845">
        <w:rPr>
          <w:rFonts w:cs="Times New Roman"/>
          <w:szCs w:val="28"/>
          <w:shd w:val="clear" w:color="auto" w:fill="FFFFFF"/>
        </w:rPr>
        <w:t>раціонально, адекватно врегул</w:t>
      </w:r>
      <w:r>
        <w:rPr>
          <w:rFonts w:cs="Times New Roman"/>
          <w:szCs w:val="28"/>
          <w:shd w:val="clear" w:color="auto" w:fill="FFFFFF"/>
        </w:rPr>
        <w:t>ьову</w:t>
      </w:r>
      <w:r w:rsidRPr="00B41845">
        <w:rPr>
          <w:rFonts w:cs="Times New Roman"/>
          <w:szCs w:val="28"/>
          <w:shd w:val="clear" w:color="auto" w:fill="FFFFFF"/>
        </w:rPr>
        <w:t>вати суспільні відносини, правові норми, які вони містять, повинні бути стислими, чіткими і недвозначними.</w:t>
      </w:r>
    </w:p>
    <w:p w:rsidR="00871DF4" w:rsidRDefault="00871DF4" w:rsidP="00871DF4">
      <w:pPr>
        <w:pStyle w:val="a3"/>
        <w:jc w:val="both"/>
        <w:rPr>
          <w:rFonts w:cs="Times New Roman"/>
          <w:i/>
          <w:szCs w:val="28"/>
          <w:lang w:val="ru-RU"/>
        </w:rPr>
      </w:pPr>
    </w:p>
    <w:p w:rsidR="00871DF4" w:rsidRPr="00835FC2" w:rsidRDefault="00871DF4" w:rsidP="00871DF4">
      <w:pPr>
        <w:pStyle w:val="a3"/>
        <w:ind w:firstLine="708"/>
        <w:jc w:val="both"/>
        <w:rPr>
          <w:rFonts w:cs="Times New Roman"/>
          <w:szCs w:val="28"/>
          <w:shd w:val="clear" w:color="auto" w:fill="FFFFFF"/>
        </w:rPr>
      </w:pPr>
      <w:r>
        <w:rPr>
          <w:rFonts w:cs="Times New Roman"/>
          <w:b/>
          <w:szCs w:val="28"/>
          <w:shd w:val="clear" w:color="auto" w:fill="FFFFFF"/>
        </w:rPr>
        <w:t>З огляду на викладене</w:t>
      </w:r>
      <w:r w:rsidRPr="00835FC2">
        <w:rPr>
          <w:rFonts w:cs="Times New Roman"/>
          <w:b/>
          <w:szCs w:val="28"/>
          <w:shd w:val="clear" w:color="auto" w:fill="FFFFFF"/>
        </w:rPr>
        <w:t xml:space="preserve"> </w:t>
      </w:r>
      <w:r w:rsidRPr="00835FC2">
        <w:rPr>
          <w:rFonts w:cs="Times New Roman"/>
          <w:b/>
          <w:szCs w:val="28"/>
        </w:rPr>
        <w:t>Вища</w:t>
      </w:r>
      <w:r w:rsidRPr="008C46CC">
        <w:rPr>
          <w:rFonts w:cs="Times New Roman"/>
          <w:b/>
          <w:szCs w:val="28"/>
        </w:rPr>
        <w:t xml:space="preserve"> рада правосуддя </w:t>
      </w:r>
      <w:r>
        <w:rPr>
          <w:rFonts w:cs="Times New Roman"/>
          <w:b/>
          <w:szCs w:val="28"/>
        </w:rPr>
        <w:t>вважає, що</w:t>
      </w:r>
      <w:r w:rsidRPr="008C46CC">
        <w:rPr>
          <w:rFonts w:cs="Times New Roman"/>
          <w:b/>
          <w:szCs w:val="28"/>
        </w:rPr>
        <w:t xml:space="preserve"> законо</w:t>
      </w:r>
      <w:r>
        <w:rPr>
          <w:rFonts w:cs="Times New Roman"/>
          <w:b/>
          <w:szCs w:val="28"/>
        </w:rPr>
        <w:t>проект</w:t>
      </w:r>
      <w:r w:rsidRPr="008C46CC">
        <w:rPr>
          <w:rFonts w:cs="Times New Roman"/>
          <w:b/>
          <w:szCs w:val="28"/>
        </w:rPr>
        <w:t xml:space="preserve"> № </w:t>
      </w:r>
      <w:r>
        <w:rPr>
          <w:rFonts w:cs="Times New Roman"/>
          <w:b/>
          <w:szCs w:val="28"/>
          <w:lang w:val="ru-RU"/>
        </w:rPr>
        <w:t xml:space="preserve">2815 </w:t>
      </w:r>
      <w:proofErr w:type="spellStart"/>
      <w:r>
        <w:rPr>
          <w:rFonts w:cs="Times New Roman"/>
          <w:b/>
          <w:szCs w:val="28"/>
          <w:lang w:val="ru-RU"/>
        </w:rPr>
        <w:t>підлягає</w:t>
      </w:r>
      <w:proofErr w:type="spellEnd"/>
      <w:r>
        <w:rPr>
          <w:rFonts w:cs="Times New Roman"/>
          <w:b/>
          <w:szCs w:val="28"/>
          <w:lang w:val="ru-RU"/>
        </w:rPr>
        <w:t xml:space="preserve"> </w:t>
      </w:r>
      <w:proofErr w:type="spellStart"/>
      <w:r>
        <w:rPr>
          <w:rFonts w:cs="Times New Roman"/>
          <w:b/>
          <w:szCs w:val="28"/>
          <w:lang w:val="ru-RU"/>
        </w:rPr>
        <w:t>доопрацюванню</w:t>
      </w:r>
      <w:proofErr w:type="spellEnd"/>
      <w:r w:rsidRPr="008C46CC">
        <w:rPr>
          <w:rFonts w:cs="Times New Roman"/>
          <w:b/>
          <w:szCs w:val="28"/>
        </w:rPr>
        <w:t>.</w:t>
      </w:r>
    </w:p>
    <w:p w:rsidR="00871DF4" w:rsidRDefault="00871DF4" w:rsidP="00871DF4">
      <w:pPr>
        <w:spacing w:after="0" w:line="240" w:lineRule="auto"/>
        <w:ind w:firstLine="567"/>
        <w:jc w:val="both"/>
      </w:pPr>
    </w:p>
    <w:p w:rsidR="00871DF4" w:rsidRPr="00991538" w:rsidRDefault="00871DF4" w:rsidP="00871DF4">
      <w:pPr>
        <w:spacing w:after="0" w:line="240" w:lineRule="auto"/>
        <w:ind w:firstLine="709"/>
        <w:jc w:val="both"/>
        <w:rPr>
          <w:rFonts w:cs="Times New Roman"/>
          <w:b/>
          <w:szCs w:val="28"/>
        </w:rPr>
      </w:pPr>
    </w:p>
    <w:p w:rsidR="00871DF4" w:rsidRDefault="00871DF4" w:rsidP="00871DF4">
      <w:pPr>
        <w:spacing w:after="0" w:line="240" w:lineRule="auto"/>
      </w:pPr>
    </w:p>
    <w:sectPr w:rsidR="00871DF4" w:rsidSect="001A51C5">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DF4" w:rsidRDefault="00871DF4" w:rsidP="00871DF4">
      <w:pPr>
        <w:spacing w:after="0" w:line="240" w:lineRule="auto"/>
      </w:pPr>
      <w:r>
        <w:separator/>
      </w:r>
    </w:p>
  </w:endnote>
  <w:endnote w:type="continuationSeparator" w:id="0">
    <w:p w:rsidR="00871DF4" w:rsidRDefault="00871DF4" w:rsidP="00871D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DF4" w:rsidRDefault="00871DF4" w:rsidP="00871DF4">
      <w:pPr>
        <w:spacing w:after="0" w:line="240" w:lineRule="auto"/>
      </w:pPr>
      <w:r>
        <w:separator/>
      </w:r>
    </w:p>
  </w:footnote>
  <w:footnote w:type="continuationSeparator" w:id="0">
    <w:p w:rsidR="00871DF4" w:rsidRDefault="00871DF4" w:rsidP="00871DF4">
      <w:pPr>
        <w:spacing w:after="0" w:line="240" w:lineRule="auto"/>
      </w:pPr>
      <w:r>
        <w:continuationSeparator/>
      </w:r>
    </w:p>
  </w:footnote>
  <w:footnote w:id="1">
    <w:p w:rsidR="00871DF4" w:rsidRPr="005C55F0" w:rsidRDefault="00871DF4" w:rsidP="00871DF4">
      <w:pPr>
        <w:autoSpaceDE w:val="0"/>
        <w:autoSpaceDN w:val="0"/>
        <w:adjustRightInd w:val="0"/>
        <w:spacing w:after="0" w:line="240" w:lineRule="auto"/>
        <w:jc w:val="both"/>
        <w:rPr>
          <w:rFonts w:cs="Times New Roman"/>
          <w:sz w:val="20"/>
          <w:szCs w:val="20"/>
          <w:lang w:eastAsia="ru-RU"/>
        </w:rPr>
      </w:pPr>
      <w:r w:rsidRPr="005C55F0">
        <w:rPr>
          <w:rStyle w:val="a6"/>
          <w:sz w:val="20"/>
          <w:szCs w:val="20"/>
        </w:rPr>
        <w:footnoteRef/>
      </w:r>
      <w:r w:rsidRPr="005C55F0">
        <w:rPr>
          <w:sz w:val="20"/>
          <w:szCs w:val="20"/>
        </w:rPr>
        <w:t xml:space="preserve"> </w:t>
      </w:r>
      <w:r w:rsidRPr="005C55F0">
        <w:rPr>
          <w:rFonts w:cs="Times New Roman"/>
          <w:sz w:val="20"/>
          <w:szCs w:val="20"/>
          <w:lang w:eastAsia="ru-RU"/>
        </w:rPr>
        <w:t>Висновок № 10 (2007) Консультативної ради європейських суддів до уваги Комітету Міністрів Ради Європи</w:t>
      </w:r>
    </w:p>
    <w:p w:rsidR="00871DF4" w:rsidRPr="005C55F0" w:rsidRDefault="00871DF4" w:rsidP="00871DF4">
      <w:pPr>
        <w:pStyle w:val="a4"/>
        <w:jc w:val="both"/>
        <w:rPr>
          <w:rFonts w:cs="Times New Roman"/>
        </w:rPr>
      </w:pPr>
      <w:r w:rsidRPr="005C55F0">
        <w:rPr>
          <w:rFonts w:cs="Times New Roman"/>
          <w:lang w:eastAsia="ru-RU"/>
        </w:rPr>
        <w:t>щодо суд</w:t>
      </w:r>
      <w:r>
        <w:rPr>
          <w:rFonts w:cs="Times New Roman"/>
          <w:lang w:eastAsia="ru-RU"/>
        </w:rPr>
        <w:t>ової ради на службі суспільства, пункт</w:t>
      </w:r>
      <w:r w:rsidRPr="005C55F0">
        <w:rPr>
          <w:rFonts w:cs="Times New Roman"/>
          <w:lang w:eastAsia="ru-RU"/>
        </w:rPr>
        <w:t xml:space="preserve"> 8</w:t>
      </w:r>
      <w:r>
        <w:rPr>
          <w:rFonts w:cs="Times New Roman"/>
          <w:lang w:eastAsia="ru-RU"/>
        </w:rPr>
        <w:t>7</w:t>
      </w:r>
      <w:r w:rsidRPr="005C55F0">
        <w:rPr>
          <w:rFonts w:cs="Times New Roman"/>
          <w:lang w:eastAsia="ru-RU"/>
        </w:rPr>
        <w:t>.</w:t>
      </w:r>
    </w:p>
  </w:footnote>
  <w:footnote w:id="2">
    <w:p w:rsidR="00871DF4" w:rsidRPr="00DD1CFE" w:rsidRDefault="00871DF4" w:rsidP="00871DF4">
      <w:pPr>
        <w:pStyle w:val="a4"/>
        <w:jc w:val="both"/>
        <w:rPr>
          <w:rFonts w:cs="Times New Roman"/>
        </w:rPr>
      </w:pPr>
      <w:r>
        <w:rPr>
          <w:rStyle w:val="a6"/>
        </w:rPr>
        <w:footnoteRef/>
      </w:r>
      <w:r>
        <w:t xml:space="preserve"> Рішення Конституційного Суду України у справі за конституційним поданням 51 народного депутата України щодо </w:t>
      </w:r>
      <w:r w:rsidRPr="00DD1CFE">
        <w:rPr>
          <w:rFonts w:cs="Times New Roman"/>
        </w:rPr>
        <w:t>відповідності Конституції України (конституційності) положень</w:t>
      </w:r>
      <w:r>
        <w:rPr>
          <w:rFonts w:cs="Times New Roman"/>
        </w:rPr>
        <w:t xml:space="preserve"> статті 92, пункту 6 розділу Х «Перехідні положення»</w:t>
      </w:r>
      <w:r w:rsidRPr="00DD1CFE">
        <w:rPr>
          <w:rFonts w:cs="Times New Roman"/>
        </w:rPr>
        <w:t xml:space="preserve"> Земельного кодексу України (справа про постійне користування земельними ділянками), м. Київ, 22 вересня 2005 року № 5-рп/2005, справа № 1-17/2005. </w:t>
      </w:r>
    </w:p>
  </w:footnote>
  <w:footnote w:id="3">
    <w:p w:rsidR="00871DF4" w:rsidRDefault="00871DF4" w:rsidP="00871DF4">
      <w:pPr>
        <w:pStyle w:val="a4"/>
        <w:ind w:right="-1"/>
        <w:jc w:val="both"/>
      </w:pPr>
      <w:r>
        <w:rPr>
          <w:rStyle w:val="a6"/>
        </w:rPr>
        <w:footnoteRef/>
      </w:r>
      <w:r>
        <w:t xml:space="preserve"> </w:t>
      </w:r>
      <w:hyperlink r:id="rId1" w:tooltip="Рішення суду" w:history="1">
        <w:r w:rsidRPr="00871DF4">
          <w:rPr>
            <w:rStyle w:val="a8"/>
            <w:rFonts w:cs="Times New Roman"/>
            <w:color w:val="auto"/>
            <w:szCs w:val="28"/>
            <w:u w:val="none"/>
            <w:shd w:val="clear" w:color="auto" w:fill="FFFFFF"/>
          </w:rPr>
          <w:t>Рішення</w:t>
        </w:r>
      </w:hyperlink>
      <w:r w:rsidRPr="00871DF4">
        <w:rPr>
          <w:rFonts w:cs="Times New Roman"/>
          <w:szCs w:val="28"/>
          <w:shd w:val="clear" w:color="auto" w:fill="FFFFFF"/>
        </w:rPr>
        <w:t> Конституційного</w:t>
      </w:r>
      <w:r w:rsidRPr="00B56166">
        <w:rPr>
          <w:rFonts w:cs="Times New Roman"/>
          <w:color w:val="222222"/>
          <w:szCs w:val="28"/>
          <w:shd w:val="clear" w:color="auto" w:fill="FFFFFF"/>
        </w:rPr>
        <w:t xml:space="preserve"> Суду України у справі за конституційним зв</w:t>
      </w:r>
      <w:r>
        <w:rPr>
          <w:rFonts w:cs="Times New Roman"/>
          <w:color w:val="222222"/>
          <w:szCs w:val="28"/>
          <w:shd w:val="clear" w:color="auto" w:fill="FFFFFF"/>
        </w:rPr>
        <w:t xml:space="preserve">ерненням Київської міської ради </w:t>
      </w:r>
      <w:r w:rsidRPr="00B56166">
        <w:rPr>
          <w:rFonts w:cs="Times New Roman"/>
          <w:color w:val="222222"/>
          <w:szCs w:val="28"/>
          <w:shd w:val="clear" w:color="auto" w:fill="FFFFFF"/>
        </w:rPr>
        <w:t>професійних спіл</w:t>
      </w:r>
      <w:r>
        <w:rPr>
          <w:rFonts w:cs="Times New Roman"/>
          <w:color w:val="222222"/>
          <w:szCs w:val="28"/>
          <w:shd w:val="clear" w:color="auto" w:fill="FFFFFF"/>
        </w:rPr>
        <w:t xml:space="preserve">ок щодо офіційного тлумачення частини третьої </w:t>
      </w:r>
      <w:r w:rsidRPr="00B56166">
        <w:rPr>
          <w:rFonts w:cs="Times New Roman"/>
          <w:color w:val="222222"/>
          <w:szCs w:val="28"/>
          <w:shd w:val="clear" w:color="auto" w:fill="FFFFFF"/>
        </w:rPr>
        <w:t xml:space="preserve"> ст</w:t>
      </w:r>
      <w:r>
        <w:rPr>
          <w:rFonts w:cs="Times New Roman"/>
          <w:color w:val="222222"/>
          <w:szCs w:val="28"/>
          <w:shd w:val="clear" w:color="auto" w:fill="FFFFFF"/>
        </w:rPr>
        <w:t xml:space="preserve">атті </w:t>
      </w:r>
      <w:r w:rsidRPr="00B56166">
        <w:rPr>
          <w:rFonts w:cs="Times New Roman"/>
          <w:color w:val="222222"/>
          <w:szCs w:val="28"/>
          <w:shd w:val="clear" w:color="auto" w:fill="FFFFFF"/>
        </w:rPr>
        <w:t>21 К</w:t>
      </w:r>
      <w:r>
        <w:rPr>
          <w:rFonts w:cs="Times New Roman"/>
          <w:color w:val="222222"/>
          <w:szCs w:val="28"/>
          <w:shd w:val="clear" w:color="auto" w:fill="FFFFFF"/>
        </w:rPr>
        <w:t>одексу законів про працю України від 9 липня 1998 року</w:t>
      </w:r>
      <w:r w:rsidRPr="00B56166">
        <w:rPr>
          <w:rFonts w:cs="Times New Roman"/>
          <w:color w:val="222222"/>
          <w:szCs w:val="28"/>
          <w:shd w:val="clear" w:color="auto" w:fill="FFFFFF"/>
        </w:rPr>
        <w:t xml:space="preserve"> № 12-рп/98</w:t>
      </w:r>
      <w:r>
        <w:rPr>
          <w:rFonts w:cs="Times New Roman"/>
          <w:color w:val="222222"/>
          <w:szCs w:val="28"/>
          <w:shd w:val="clear" w:color="auto" w:fill="FFFFFF"/>
        </w:rPr>
        <w:t>.</w:t>
      </w:r>
    </w:p>
  </w:footnote>
  <w:footnote w:id="4">
    <w:p w:rsidR="00871DF4" w:rsidRDefault="00871DF4" w:rsidP="00871DF4">
      <w:pPr>
        <w:pStyle w:val="a4"/>
      </w:pPr>
      <w:r>
        <w:rPr>
          <w:rStyle w:val="a6"/>
        </w:rPr>
        <w:footnoteRef/>
      </w:r>
      <w:r>
        <w:t xml:space="preserve"> </w:t>
      </w:r>
      <w:r w:rsidRPr="00DD1CFE">
        <w:rPr>
          <w:rFonts w:cs="Times New Roman"/>
          <w:color w:val="000000"/>
          <w:shd w:val="clear" w:color="auto" w:fill="FFFFFF"/>
        </w:rPr>
        <w:t>CDL-AD(2019)014, Румунія – Висновок щодо Надзвичайних розпоряджень уряду № 7 і № 12, доповн</w:t>
      </w:r>
      <w:r>
        <w:rPr>
          <w:rFonts w:cs="Times New Roman"/>
          <w:color w:val="000000"/>
          <w:shd w:val="clear" w:color="auto" w:fill="FFFFFF"/>
        </w:rPr>
        <w:t>ених Законами про правосуддя, пункт</w:t>
      </w:r>
      <w:r w:rsidRPr="00DD1CFE">
        <w:rPr>
          <w:rFonts w:cs="Times New Roman"/>
          <w:color w:val="000000"/>
          <w:shd w:val="clear" w:color="auto" w:fill="FFFFFF"/>
        </w:rPr>
        <w:t xml:space="preserve"> 14</w:t>
      </w:r>
      <w:r>
        <w:rPr>
          <w:rFonts w:cs="Times New Roman"/>
          <w:color w:val="000000"/>
          <w:shd w:val="clear" w:color="auto" w:fill="FFFFFF"/>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71DF4"/>
    <w:rsid w:val="00086571"/>
    <w:rsid w:val="001A51C5"/>
    <w:rsid w:val="00367A65"/>
    <w:rsid w:val="00871DF4"/>
    <w:rsid w:val="008C1790"/>
    <w:rsid w:val="00B138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F4"/>
    <w:rPr>
      <w:rFonts w:eastAsia="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1DF4"/>
    <w:pPr>
      <w:spacing w:after="0" w:line="240" w:lineRule="auto"/>
    </w:pPr>
    <w:rPr>
      <w:rFonts w:eastAsia="Calibri" w:cs="Calibri"/>
    </w:rPr>
  </w:style>
  <w:style w:type="character" w:customStyle="1" w:styleId="apple-converted-space">
    <w:name w:val="apple-converted-space"/>
    <w:basedOn w:val="a0"/>
    <w:rsid w:val="00871DF4"/>
    <w:rPr>
      <w:rFonts w:cs="Times New Roman"/>
    </w:rPr>
  </w:style>
  <w:style w:type="paragraph" w:styleId="a4">
    <w:name w:val="footnote text"/>
    <w:basedOn w:val="a"/>
    <w:link w:val="a5"/>
    <w:uiPriority w:val="99"/>
    <w:rsid w:val="00871DF4"/>
    <w:pPr>
      <w:spacing w:after="0" w:line="240" w:lineRule="auto"/>
    </w:pPr>
    <w:rPr>
      <w:sz w:val="20"/>
      <w:szCs w:val="20"/>
    </w:rPr>
  </w:style>
  <w:style w:type="character" w:customStyle="1" w:styleId="a5">
    <w:name w:val="Текст виноски Знак"/>
    <w:basedOn w:val="a0"/>
    <w:link w:val="a4"/>
    <w:uiPriority w:val="99"/>
    <w:rsid w:val="00871DF4"/>
    <w:rPr>
      <w:rFonts w:eastAsia="Calibri" w:cs="Calibri"/>
      <w:sz w:val="20"/>
      <w:szCs w:val="20"/>
    </w:rPr>
  </w:style>
  <w:style w:type="character" w:styleId="a6">
    <w:name w:val="footnote reference"/>
    <w:basedOn w:val="a0"/>
    <w:uiPriority w:val="99"/>
    <w:rsid w:val="00871DF4"/>
    <w:rPr>
      <w:rFonts w:cs="Times New Roman"/>
      <w:vertAlign w:val="superscript"/>
    </w:rPr>
  </w:style>
  <w:style w:type="character" w:customStyle="1" w:styleId="rvts9">
    <w:name w:val="rvts9"/>
    <w:basedOn w:val="a0"/>
    <w:rsid w:val="00871DF4"/>
    <w:rPr>
      <w:rFonts w:cs="Times New Roman"/>
    </w:rPr>
  </w:style>
  <w:style w:type="paragraph" w:styleId="a7">
    <w:name w:val="List Paragraph"/>
    <w:basedOn w:val="a"/>
    <w:uiPriority w:val="34"/>
    <w:qFormat/>
    <w:rsid w:val="00871DF4"/>
    <w:pPr>
      <w:ind w:left="720"/>
      <w:contextualSpacing/>
    </w:pPr>
  </w:style>
  <w:style w:type="character" w:styleId="a8">
    <w:name w:val="Hyperlink"/>
    <w:basedOn w:val="a0"/>
    <w:uiPriority w:val="99"/>
    <w:unhideWhenUsed/>
    <w:rsid w:val="00871DF4"/>
    <w:rPr>
      <w:color w:val="0000FF"/>
      <w:u w:val="single"/>
    </w:rPr>
  </w:style>
  <w:style w:type="character" w:styleId="a9">
    <w:name w:val="Emphasis"/>
    <w:basedOn w:val="a0"/>
    <w:uiPriority w:val="20"/>
    <w:qFormat/>
    <w:rsid w:val="00871DF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uk.wikipedia.org/wiki/%D0%A0%D1%96%D1%88%D0%B5%D0%BD%D0%BD%D1%8F_%D1%81%D1%83%D0%B4%D1%83"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8778</Words>
  <Characters>5005</Characters>
  <Application>Microsoft Office Word</Application>
  <DocSecurity>0</DocSecurity>
  <Lines>41</Lines>
  <Paragraphs>27</Paragraphs>
  <ScaleCrop>false</ScaleCrop>
  <Company>Microsoft</Company>
  <LinksUpToDate>false</LinksUpToDate>
  <CharactersWithSpaces>13756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 Ліходій (VRU-US10PC0776 - o.lihodiy)</dc:creator>
  <cp:lastModifiedBy>Олександра Ліходій (VRU-US10PC0776 - o.lihodiy)</cp:lastModifiedBy>
  <cp:revision>2</cp:revision>
  <dcterms:created xsi:type="dcterms:W3CDTF">2020-03-04T08:35:00Z</dcterms:created>
  <dcterms:modified xsi:type="dcterms:W3CDTF">2020-03-04T09:07:00Z</dcterms:modified>
</cp:coreProperties>
</file>