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5A" w:rsidRDefault="0004175A" w:rsidP="0004175A">
      <w:pPr>
        <w:pStyle w:val="a5"/>
        <w:ind w:left="0"/>
        <w:jc w:val="both"/>
        <w:rPr>
          <w:szCs w:val="28"/>
        </w:rPr>
      </w:pPr>
    </w:p>
    <w:p w:rsidR="0004175A" w:rsidRDefault="0004175A" w:rsidP="0004175A">
      <w:pPr>
        <w:pStyle w:val="a5"/>
        <w:ind w:left="0"/>
        <w:jc w:val="both"/>
        <w:rPr>
          <w:szCs w:val="28"/>
        </w:rPr>
      </w:pPr>
    </w:p>
    <w:p w:rsidR="0004175A" w:rsidRPr="001F6899" w:rsidRDefault="0004175A" w:rsidP="0004175A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04175A" w:rsidRPr="00920881" w:rsidRDefault="0004175A" w:rsidP="0004175A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04175A" w:rsidRPr="00660F9B" w:rsidRDefault="0004175A" w:rsidP="0004175A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04175A" w:rsidRPr="00920881" w:rsidRDefault="0004175A" w:rsidP="0004175A">
      <w:pPr>
        <w:pStyle w:val="a5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4175A" w:rsidRPr="00635BF0" w:rsidTr="008E67E3">
        <w:trPr>
          <w:trHeight w:val="188"/>
        </w:trPr>
        <w:tc>
          <w:tcPr>
            <w:tcW w:w="3098" w:type="dxa"/>
          </w:tcPr>
          <w:p w:rsidR="0004175A" w:rsidRPr="00D37247" w:rsidRDefault="00D37247" w:rsidP="00D37247">
            <w:pPr>
              <w:ind w:right="-2"/>
              <w:rPr>
                <w:noProof/>
                <w:lang w:val="en-US"/>
              </w:rPr>
            </w:pPr>
            <w:r w:rsidRPr="00D37247">
              <w:rPr>
                <w:noProof/>
                <w:lang w:val="ru-RU"/>
              </w:rPr>
              <w:t>4 березня 2010 року</w:t>
            </w:r>
          </w:p>
        </w:tc>
        <w:tc>
          <w:tcPr>
            <w:tcW w:w="3309" w:type="dxa"/>
          </w:tcPr>
          <w:p w:rsidR="0004175A" w:rsidRPr="001F6899" w:rsidRDefault="0004175A" w:rsidP="008E67E3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04175A" w:rsidRPr="00B75125" w:rsidRDefault="0004175A" w:rsidP="00B75125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75125" w:rsidRPr="00B75125">
              <w:rPr>
                <w:noProof/>
                <w:lang w:val="ru-RU"/>
              </w:rPr>
              <w:t>№ 672/3дп/15-20</w:t>
            </w:r>
          </w:p>
        </w:tc>
      </w:tr>
    </w:tbl>
    <w:p w:rsidR="0004175A" w:rsidRDefault="0004175A" w:rsidP="0004175A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04175A" w:rsidRPr="0004175A" w:rsidRDefault="0004175A" w:rsidP="0004175A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r w:rsidRPr="0004175A">
        <w:rPr>
          <w:rStyle w:val="FontStyle15"/>
          <w:sz w:val="24"/>
          <w:szCs w:val="24"/>
          <w:lang w:val="uk-UA" w:eastAsia="uk-UA"/>
        </w:rPr>
        <w:t xml:space="preserve">Про відмову в задоволенні заяви члена Третьої Дисциплінарної палати Вищої </w:t>
      </w:r>
      <w:bookmarkStart w:id="0" w:name="_GoBack"/>
      <w:bookmarkEnd w:id="0"/>
      <w:r w:rsidRPr="0004175A">
        <w:rPr>
          <w:rStyle w:val="FontStyle15"/>
          <w:sz w:val="24"/>
          <w:szCs w:val="24"/>
          <w:lang w:val="uk-UA" w:eastAsia="uk-UA"/>
        </w:rPr>
        <w:t xml:space="preserve">ради правосуддя </w:t>
      </w:r>
      <w:proofErr w:type="spellStart"/>
      <w:r w:rsidRPr="0004175A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Pr="0004175A">
        <w:rPr>
          <w:rStyle w:val="FontStyle15"/>
          <w:sz w:val="24"/>
          <w:szCs w:val="24"/>
          <w:lang w:val="uk-UA" w:eastAsia="uk-UA"/>
        </w:rPr>
        <w:t> П.М. про самовідвід</w:t>
      </w:r>
    </w:p>
    <w:p w:rsidR="0004175A" w:rsidRPr="004C0B5E" w:rsidRDefault="0004175A" w:rsidP="0004175A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04175A" w:rsidRPr="0004175A" w:rsidRDefault="0004175A" w:rsidP="0004175A">
      <w:pPr>
        <w:ind w:firstLine="709"/>
        <w:jc w:val="both"/>
      </w:pPr>
      <w:r w:rsidRPr="0004175A">
        <w:t xml:space="preserve">Третя Дисциплінарна палата Вищої ради правосуддя у складі </w:t>
      </w:r>
      <w:r w:rsidR="00D37247">
        <w:t xml:space="preserve">               </w:t>
      </w:r>
      <w:r w:rsidRPr="0004175A">
        <w:t>головуючого –</w:t>
      </w:r>
      <w:r w:rsidR="00D37247">
        <w:t xml:space="preserve"> </w:t>
      </w:r>
      <w:r w:rsidRPr="0004175A">
        <w:t xml:space="preserve">Говорухи В.І., </w:t>
      </w:r>
      <w:r w:rsidR="00D37247" w:rsidRPr="0004175A">
        <w:t xml:space="preserve">членів </w:t>
      </w:r>
      <w:r w:rsidRPr="0004175A">
        <w:t>Іванової Л.Б., Матвійчука</w:t>
      </w:r>
      <w:r w:rsidR="007B0852">
        <w:t> </w:t>
      </w:r>
      <w:r w:rsidRPr="0004175A">
        <w:t xml:space="preserve">В.В., </w:t>
      </w:r>
      <w:r w:rsidR="00D37247">
        <w:t xml:space="preserve">                     </w:t>
      </w:r>
      <w:proofErr w:type="spellStart"/>
      <w:r w:rsidR="00D37247" w:rsidRPr="0004175A">
        <w:t>Швецової</w:t>
      </w:r>
      <w:proofErr w:type="spellEnd"/>
      <w:r w:rsidR="00D37247" w:rsidRPr="0004175A">
        <w:t xml:space="preserve"> Л.А., </w:t>
      </w:r>
      <w:r w:rsidRPr="0004175A">
        <w:t xml:space="preserve">розглянувши заяву члена Третьої Дисциплінарної палати Вищої ради правосуддя </w:t>
      </w:r>
      <w:proofErr w:type="spellStart"/>
      <w:r w:rsidRPr="0004175A">
        <w:t>Гречківського</w:t>
      </w:r>
      <w:proofErr w:type="spellEnd"/>
      <w:r w:rsidRPr="0004175A">
        <w:t xml:space="preserve"> Павла Миколайовича про самовідвід, </w:t>
      </w:r>
    </w:p>
    <w:p w:rsidR="0004175A" w:rsidRPr="0004175A" w:rsidRDefault="0004175A" w:rsidP="0004175A">
      <w:pPr>
        <w:jc w:val="both"/>
        <w:rPr>
          <w:rStyle w:val="FontStyle16"/>
          <w:spacing w:val="0"/>
          <w:sz w:val="28"/>
          <w:szCs w:val="28"/>
        </w:rPr>
      </w:pPr>
    </w:p>
    <w:p w:rsidR="0004175A" w:rsidRPr="0004175A" w:rsidRDefault="0004175A" w:rsidP="0004175A">
      <w:pPr>
        <w:jc w:val="center"/>
        <w:rPr>
          <w:rStyle w:val="FontStyle17"/>
          <w:spacing w:val="0"/>
          <w:sz w:val="28"/>
          <w:szCs w:val="28"/>
          <w:lang w:eastAsia="uk-UA"/>
        </w:rPr>
      </w:pPr>
      <w:r w:rsidRPr="0004175A">
        <w:rPr>
          <w:rStyle w:val="FontStyle17"/>
          <w:spacing w:val="0"/>
          <w:sz w:val="28"/>
          <w:szCs w:val="28"/>
          <w:lang w:eastAsia="uk-UA"/>
        </w:rPr>
        <w:t>встановила:</w:t>
      </w:r>
    </w:p>
    <w:p w:rsidR="0004175A" w:rsidRPr="0004175A" w:rsidRDefault="0004175A" w:rsidP="0004175A">
      <w:pPr>
        <w:jc w:val="both"/>
      </w:pPr>
    </w:p>
    <w:p w:rsidR="007B0852" w:rsidRPr="00674555" w:rsidRDefault="0004175A" w:rsidP="007B0852">
      <w:pPr>
        <w:jc w:val="both"/>
      </w:pPr>
      <w:r w:rsidRPr="0004175A">
        <w:t>до порядку денно</w:t>
      </w:r>
      <w:r w:rsidR="00D37247">
        <w:t>го</w:t>
      </w:r>
      <w:r w:rsidRPr="0004175A">
        <w:t xml:space="preserve"> засідання Третьої Дисциплінарної палати Вищої ради правосуддя </w:t>
      </w:r>
      <w:r w:rsidR="007B0852">
        <w:t>4 березня</w:t>
      </w:r>
      <w:r w:rsidRPr="0004175A">
        <w:t xml:space="preserve"> 2020 року включено питання про відкриття дисциплінарної справи чи відмову в її відкритті за скаргою </w:t>
      </w:r>
      <w:proofErr w:type="spellStart"/>
      <w:r w:rsidR="007B0852" w:rsidRPr="00674555">
        <w:t>Волкової</w:t>
      </w:r>
      <w:proofErr w:type="spellEnd"/>
      <w:r w:rsidR="007B0852" w:rsidRPr="00674555">
        <w:t xml:space="preserve"> І.М. стосовно суддів Касаційного адміністративного суду у складі Верховного Суду </w:t>
      </w:r>
      <w:r w:rsidR="00566F99" w:rsidRPr="00674555">
        <w:t xml:space="preserve">Пасічник </w:t>
      </w:r>
      <w:r w:rsidR="007B0852" w:rsidRPr="00674555">
        <w:t xml:space="preserve">Світлани Сергіївни, </w:t>
      </w:r>
      <w:proofErr w:type="spellStart"/>
      <w:r w:rsidR="00566F99" w:rsidRPr="00674555">
        <w:t>Анцупової</w:t>
      </w:r>
      <w:proofErr w:type="spellEnd"/>
      <w:r w:rsidR="00566F99" w:rsidRPr="00674555">
        <w:t xml:space="preserve"> </w:t>
      </w:r>
      <w:r w:rsidR="007B0852" w:rsidRPr="00674555">
        <w:t xml:space="preserve">Тетяни Олександрівни, </w:t>
      </w:r>
      <w:proofErr w:type="spellStart"/>
      <w:r w:rsidR="00566F99" w:rsidRPr="00674555">
        <w:t>Стародуба</w:t>
      </w:r>
      <w:proofErr w:type="spellEnd"/>
      <w:r w:rsidR="00566F99" w:rsidRPr="00674555">
        <w:t xml:space="preserve"> </w:t>
      </w:r>
      <w:r w:rsidR="007B0852" w:rsidRPr="00674555">
        <w:t xml:space="preserve">Олександра Павловича, </w:t>
      </w:r>
      <w:r w:rsidR="00566F99" w:rsidRPr="00674555">
        <w:t xml:space="preserve">Кравчука </w:t>
      </w:r>
      <w:r w:rsidR="007B0852" w:rsidRPr="00674555">
        <w:t xml:space="preserve">Володимира Миколайовича, </w:t>
      </w:r>
      <w:proofErr w:type="spellStart"/>
      <w:r w:rsidR="00566F99" w:rsidRPr="00674555">
        <w:t>Стрелець</w:t>
      </w:r>
      <w:proofErr w:type="spellEnd"/>
      <w:r w:rsidR="00566F99" w:rsidRPr="00674555">
        <w:t xml:space="preserve"> </w:t>
      </w:r>
      <w:r w:rsidR="007B0852" w:rsidRPr="00674555">
        <w:t xml:space="preserve">Тетяни Геннадіївни, </w:t>
      </w:r>
      <w:r w:rsidR="00566F99" w:rsidRPr="00674555">
        <w:t xml:space="preserve">Стеценка </w:t>
      </w:r>
      <w:r w:rsidR="007B0852" w:rsidRPr="00674555">
        <w:t xml:space="preserve">Семена Григоровича, </w:t>
      </w:r>
      <w:proofErr w:type="spellStart"/>
      <w:r w:rsidR="00566F99" w:rsidRPr="00674555">
        <w:t>Тацій</w:t>
      </w:r>
      <w:proofErr w:type="spellEnd"/>
      <w:r w:rsidR="00566F99" w:rsidRPr="00674555">
        <w:t xml:space="preserve"> </w:t>
      </w:r>
      <w:r w:rsidR="007B0852" w:rsidRPr="00674555">
        <w:t>Лариси Василівни.</w:t>
      </w:r>
    </w:p>
    <w:p w:rsidR="00500E0C" w:rsidRPr="001C53B7" w:rsidRDefault="0004175A" w:rsidP="0004175A">
      <w:pPr>
        <w:ind w:firstLine="709"/>
        <w:jc w:val="both"/>
        <w:rPr>
          <w:b/>
        </w:rPr>
      </w:pPr>
      <w:r w:rsidRPr="0004175A">
        <w:t xml:space="preserve">Членом Третьої Дисциплінарної палати Вищої ради правосуддя                  </w:t>
      </w:r>
      <w:proofErr w:type="spellStart"/>
      <w:r w:rsidRPr="0004175A">
        <w:t>Гречківським</w:t>
      </w:r>
      <w:proofErr w:type="spellEnd"/>
      <w:r w:rsidRPr="0004175A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</w:t>
      </w:r>
      <w:r w:rsidR="00500E0C" w:rsidRPr="00674555">
        <w:rPr>
          <w:bCs/>
          <w:iCs/>
        </w:rPr>
        <w:t xml:space="preserve">суддя </w:t>
      </w:r>
      <w:r w:rsidR="00500E0C" w:rsidRPr="00674555">
        <w:t xml:space="preserve">Касаційного адміністративного суду у складі Верховного Суду </w:t>
      </w:r>
      <w:proofErr w:type="spellStart"/>
      <w:r w:rsidR="00500E0C" w:rsidRPr="00674555">
        <w:t>Стародуб</w:t>
      </w:r>
      <w:proofErr w:type="spellEnd"/>
      <w:r w:rsidR="00500E0C" w:rsidRPr="00674555">
        <w:t xml:space="preserve"> О.П. разом з</w:t>
      </w:r>
      <w:r w:rsidR="00500E0C">
        <w:t xml:space="preserve"> членом Вищої ради правосуддя</w:t>
      </w:r>
      <w:r w:rsidR="00500E0C" w:rsidRPr="00674555">
        <w:t xml:space="preserve"> </w:t>
      </w:r>
      <w:proofErr w:type="spellStart"/>
      <w:r w:rsidR="00566F99">
        <w:t>Гречківським</w:t>
      </w:r>
      <w:proofErr w:type="spellEnd"/>
      <w:r w:rsidR="00566F99">
        <w:t xml:space="preserve"> П.М. </w:t>
      </w:r>
      <w:r w:rsidR="00500E0C" w:rsidRPr="00674555">
        <w:t xml:space="preserve">входить до Персонального складу Комісії з питань вищого корпусу державної служби в системі правосуддя. Крім того, </w:t>
      </w:r>
      <w:proofErr w:type="spellStart"/>
      <w:r w:rsidR="00500E0C" w:rsidRPr="00674555">
        <w:t>Стародуб</w:t>
      </w:r>
      <w:proofErr w:type="spellEnd"/>
      <w:r w:rsidR="00500E0C" w:rsidRPr="00674555">
        <w:t xml:space="preserve"> О.П. входить до складу </w:t>
      </w:r>
      <w:r w:rsidR="00500E0C" w:rsidRPr="001C53B7">
        <w:rPr>
          <w:rStyle w:val="a9"/>
          <w:b w:val="0"/>
        </w:rPr>
        <w:t xml:space="preserve">Комітету з дисциплінарних проваджень щодо державних службовців, які займають посади державної служби категорії «А» в системі правосуддя. Член Вищої ради правосуддя </w:t>
      </w:r>
      <w:proofErr w:type="spellStart"/>
      <w:r w:rsidR="00500E0C" w:rsidRPr="001C53B7">
        <w:rPr>
          <w:rStyle w:val="a9"/>
          <w:b w:val="0"/>
        </w:rPr>
        <w:t>Гречківський</w:t>
      </w:r>
      <w:proofErr w:type="spellEnd"/>
      <w:r w:rsidR="00500E0C" w:rsidRPr="001C53B7">
        <w:rPr>
          <w:rStyle w:val="a9"/>
          <w:b w:val="0"/>
        </w:rPr>
        <w:t xml:space="preserve"> П.М. обіймає посаду секретаря цього комітету.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Третя Дисциплінарна палата Вищої ради правосуддя встановила таке.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lastRenderedPageBreak/>
        <w:t xml:space="preserve">Відповідно до частини першої цієї статті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родичем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неупередженості. 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Відповідно до практики застосування Європейським судом з прав людини положень пункту 1 статті 6 Конвенції про захист прав людини і основоположних свобод наявність безсторонності має визначатися за суб’єктивним та об’єктивним критеріями.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У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п.п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. 104-106 рішення Європейського суду з прав людини від 9 січня 2013 року по справі «Олександр Волков проти України» (заява № 21722/11) зазначено, що</w:t>
      </w:r>
      <w:r w:rsidR="003111A3">
        <w:rPr>
          <w:rStyle w:val="FontStyle17"/>
          <w:b w:val="0"/>
          <w:spacing w:val="0"/>
          <w:sz w:val="28"/>
          <w:szCs w:val="28"/>
          <w:lang w:eastAsia="uk-UA"/>
        </w:rPr>
        <w:t>,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як правило, безсторонність означає відсутність упередженості та необ’єктивності. Згідно з усталеною практикою Суду існування безсторонності для цілей пункту 1 статті 6 Конвенції повинно встановлюватися згідно з: (і) суб’єктивним критерієм, врахувавши особисті переконання та поведінку конкретного судді, тобто чи мав суддя особисту упередженість або чи був він об’єктивним у цій справі, та (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іі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) об’єктивним критерієм, іншими словами, шляхом встановлення того, чи забезпечував сам суд та, серед інших аспектів, його склад, достатні гарантії для того, щоб виключити будь-який обґрунтований сумнів у його безсторонності (див., серед інших, рішення у справах «Фей проти Австрії» (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Fey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v.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Austria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), від 24 лютого 1993 року,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Series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А № 255,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пп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. 28 та 30, та «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Веттштайн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проти Швейцарії» (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Wettstein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v.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Switzerland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), заява № 33958/96, п. 42, ECHR 2000-ХІІ).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Третьою Дисциплінарною палатою Вищої ради правосуддя за результатами розгляду заяви про самовідвід не встановлено будь-яких обставин, що свідчили б про наявність упередженості або необ’єктивності члена Третьої Дисциплінарної палати Вищої ради правосуддя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Гречківського</w:t>
      </w:r>
      <w:proofErr w:type="spellEnd"/>
      <w:r w:rsidR="00BA6867">
        <w:rPr>
          <w:rStyle w:val="FontStyle17"/>
          <w:b w:val="0"/>
          <w:spacing w:val="0"/>
          <w:sz w:val="28"/>
          <w:szCs w:val="28"/>
          <w:lang w:eastAsia="uk-UA"/>
        </w:rPr>
        <w:t> 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П.М. щодо розгляду питання стосовно </w:t>
      </w:r>
      <w:r w:rsidR="004B4E8E" w:rsidRPr="00674555">
        <w:rPr>
          <w:bCs/>
          <w:iCs/>
        </w:rPr>
        <w:t>судд</w:t>
      </w:r>
      <w:r w:rsidR="004B4E8E">
        <w:rPr>
          <w:bCs/>
          <w:iCs/>
        </w:rPr>
        <w:t>і</w:t>
      </w:r>
      <w:r w:rsidR="004B4E8E" w:rsidRPr="00674555">
        <w:rPr>
          <w:bCs/>
          <w:iCs/>
        </w:rPr>
        <w:t xml:space="preserve"> </w:t>
      </w:r>
      <w:r w:rsidR="004B4E8E" w:rsidRPr="00674555">
        <w:t xml:space="preserve">Касаційного адміністративного суду у складі Верховного Суду </w:t>
      </w:r>
      <w:proofErr w:type="spellStart"/>
      <w:r w:rsidR="004B4E8E" w:rsidRPr="00674555">
        <w:t>Стародуб</w:t>
      </w:r>
      <w:r w:rsidR="004B4E8E">
        <w:t>а</w:t>
      </w:r>
      <w:proofErr w:type="spellEnd"/>
      <w:r w:rsidR="004B4E8E" w:rsidRPr="00674555">
        <w:t xml:space="preserve"> О.П.</w:t>
      </w:r>
      <w:r w:rsidR="004B4E8E">
        <w:t xml:space="preserve">, 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оскільки спільна участь </w:t>
      </w:r>
      <w:r w:rsidR="00BA6867"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зазначених осіб 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у діяльності Персонального складу Комісії з питань вищого корпусу державної служби в системі правосуддя, </w:t>
      </w:r>
      <w:r w:rsidRPr="0004175A">
        <w:t xml:space="preserve">а також </w:t>
      </w:r>
      <w:r w:rsidRPr="0004175A">
        <w:rPr>
          <w:rStyle w:val="a9"/>
          <w:b w:val="0"/>
        </w:rPr>
        <w:t>Комітету з дисциплінарних проваджень щодо державних службовців, які займають посади державної служби категорії «А» в системі правосуддя</w:t>
      </w:r>
      <w:r w:rsidR="004B4E8E">
        <w:rPr>
          <w:rStyle w:val="a9"/>
          <w:b w:val="0"/>
        </w:rPr>
        <w:t>,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не є однозначним свідченням наявності інших стосунків між зазначеними особами окрім професійних, що породжували б особисту зацікавленість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Гречківського</w:t>
      </w:r>
      <w:proofErr w:type="spellEnd"/>
      <w:r w:rsidR="00D12027">
        <w:rPr>
          <w:rStyle w:val="FontStyle17"/>
          <w:b w:val="0"/>
          <w:spacing w:val="0"/>
          <w:sz w:val="28"/>
          <w:szCs w:val="28"/>
          <w:lang w:eastAsia="uk-UA"/>
        </w:rPr>
        <w:t> </w:t>
      </w: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П.М. у результатах розгляду дисциплінарної скарги.</w:t>
      </w:r>
    </w:p>
    <w:p w:rsidR="0004175A" w:rsidRPr="0004175A" w:rsidRDefault="0004175A" w:rsidP="0004175A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04175A" w:rsidRPr="0004175A" w:rsidRDefault="0004175A" w:rsidP="0004175A">
      <w:pPr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</w:p>
    <w:p w:rsidR="0004175A" w:rsidRPr="0004175A" w:rsidRDefault="0004175A" w:rsidP="0004175A">
      <w:pPr>
        <w:jc w:val="center"/>
        <w:rPr>
          <w:rStyle w:val="FontStyle17"/>
          <w:spacing w:val="0"/>
          <w:sz w:val="28"/>
          <w:szCs w:val="28"/>
          <w:lang w:eastAsia="uk-UA"/>
        </w:rPr>
      </w:pPr>
      <w:r w:rsidRPr="0004175A">
        <w:rPr>
          <w:rStyle w:val="FontStyle17"/>
          <w:spacing w:val="0"/>
          <w:sz w:val="28"/>
          <w:szCs w:val="28"/>
          <w:lang w:eastAsia="uk-UA"/>
        </w:rPr>
        <w:t>ухвалила:</w:t>
      </w:r>
    </w:p>
    <w:p w:rsidR="0004175A" w:rsidRPr="0004175A" w:rsidRDefault="0004175A" w:rsidP="0004175A">
      <w:pPr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</w:p>
    <w:p w:rsidR="0004175A" w:rsidRPr="0004175A" w:rsidRDefault="0004175A" w:rsidP="0004175A">
      <w:pPr>
        <w:jc w:val="both"/>
      </w:pPr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відмовити в задоволенні заяви члена Третьої Дисциплінарної палати Вищої ради правосуддя </w:t>
      </w:r>
      <w:proofErr w:type="spellStart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>Гречківського</w:t>
      </w:r>
      <w:proofErr w:type="spellEnd"/>
      <w:r w:rsidRPr="0004175A">
        <w:rPr>
          <w:rStyle w:val="FontStyle17"/>
          <w:b w:val="0"/>
          <w:spacing w:val="0"/>
          <w:sz w:val="28"/>
          <w:szCs w:val="28"/>
          <w:lang w:eastAsia="uk-UA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скаргою </w:t>
      </w:r>
      <w:proofErr w:type="spellStart"/>
      <w:r w:rsidR="00C5650E" w:rsidRPr="00674555">
        <w:t>Волкової</w:t>
      </w:r>
      <w:proofErr w:type="spellEnd"/>
      <w:r w:rsidR="00C5650E" w:rsidRPr="00674555">
        <w:t xml:space="preserve"> І.М. стосовно суддів Касаційного адміністративного суду у складі Верховного Суду </w:t>
      </w:r>
      <w:r w:rsidR="00D12027" w:rsidRPr="00674555">
        <w:t xml:space="preserve">Пасічник </w:t>
      </w:r>
      <w:r w:rsidR="00C5650E" w:rsidRPr="00674555">
        <w:t xml:space="preserve">Світлани Сергіївни, </w:t>
      </w:r>
      <w:proofErr w:type="spellStart"/>
      <w:r w:rsidR="00D12027" w:rsidRPr="00674555">
        <w:t>Анцупової</w:t>
      </w:r>
      <w:proofErr w:type="spellEnd"/>
      <w:r w:rsidR="00D12027" w:rsidRPr="00674555">
        <w:t xml:space="preserve"> </w:t>
      </w:r>
      <w:r w:rsidR="00C5650E" w:rsidRPr="00674555">
        <w:t xml:space="preserve">Тетяни Олександрівни, </w:t>
      </w:r>
      <w:proofErr w:type="spellStart"/>
      <w:r w:rsidR="00D12027" w:rsidRPr="00674555">
        <w:t>Стародуба</w:t>
      </w:r>
      <w:proofErr w:type="spellEnd"/>
      <w:r w:rsidR="00D12027" w:rsidRPr="00674555">
        <w:t xml:space="preserve"> </w:t>
      </w:r>
      <w:r w:rsidR="00C5650E" w:rsidRPr="00674555">
        <w:t xml:space="preserve">Олександра Павловича, </w:t>
      </w:r>
      <w:r w:rsidR="00D12027" w:rsidRPr="00674555">
        <w:t xml:space="preserve">Кравчука </w:t>
      </w:r>
      <w:r w:rsidR="00C5650E" w:rsidRPr="00674555">
        <w:t xml:space="preserve">Володимира Миколайовича, </w:t>
      </w:r>
      <w:proofErr w:type="spellStart"/>
      <w:r w:rsidR="00D12027" w:rsidRPr="00674555">
        <w:t>Стрелець</w:t>
      </w:r>
      <w:proofErr w:type="spellEnd"/>
      <w:r w:rsidR="00D12027" w:rsidRPr="00674555">
        <w:t xml:space="preserve"> </w:t>
      </w:r>
      <w:r w:rsidR="00C5650E" w:rsidRPr="00674555">
        <w:t xml:space="preserve">Тетяни Геннадіївни, </w:t>
      </w:r>
      <w:r w:rsidR="00D12027" w:rsidRPr="00674555">
        <w:t xml:space="preserve">Стеценка </w:t>
      </w:r>
      <w:r w:rsidR="00C5650E" w:rsidRPr="00674555">
        <w:t xml:space="preserve">Семена Григоровича, </w:t>
      </w:r>
      <w:proofErr w:type="spellStart"/>
      <w:r w:rsidR="00D12027" w:rsidRPr="00674555">
        <w:t>Тацій</w:t>
      </w:r>
      <w:proofErr w:type="spellEnd"/>
      <w:r w:rsidR="00D12027" w:rsidRPr="00674555">
        <w:t xml:space="preserve"> </w:t>
      </w:r>
      <w:r w:rsidR="00C5650E" w:rsidRPr="00674555">
        <w:t>Лариси Василівни.</w:t>
      </w:r>
    </w:p>
    <w:p w:rsidR="0004175A" w:rsidRDefault="0004175A" w:rsidP="0004175A">
      <w:pPr>
        <w:jc w:val="both"/>
      </w:pPr>
    </w:p>
    <w:p w:rsidR="00603E78" w:rsidRPr="0004175A" w:rsidRDefault="00603E78" w:rsidP="0004175A">
      <w:pPr>
        <w:jc w:val="both"/>
      </w:pPr>
    </w:p>
    <w:p w:rsidR="0004175A" w:rsidRPr="0004175A" w:rsidRDefault="0004175A" w:rsidP="0004175A">
      <w:pPr>
        <w:jc w:val="both"/>
        <w:rPr>
          <w:b/>
        </w:rPr>
      </w:pPr>
      <w:r w:rsidRPr="0004175A">
        <w:rPr>
          <w:b/>
        </w:rPr>
        <w:t xml:space="preserve">Головуючий на засіданні </w:t>
      </w:r>
    </w:p>
    <w:p w:rsidR="0004175A" w:rsidRPr="0004175A" w:rsidRDefault="0004175A" w:rsidP="0004175A">
      <w:pPr>
        <w:jc w:val="both"/>
        <w:rPr>
          <w:b/>
        </w:rPr>
      </w:pPr>
      <w:r w:rsidRPr="0004175A">
        <w:rPr>
          <w:b/>
        </w:rPr>
        <w:t xml:space="preserve">Третьої Дисциплінарної </w:t>
      </w:r>
    </w:p>
    <w:p w:rsidR="0004175A" w:rsidRPr="0004175A" w:rsidRDefault="0004175A" w:rsidP="00603E78">
      <w:pPr>
        <w:tabs>
          <w:tab w:val="left" w:pos="6379"/>
        </w:tabs>
        <w:jc w:val="both"/>
        <w:rPr>
          <w:b/>
        </w:rPr>
      </w:pPr>
      <w:r w:rsidRPr="0004175A">
        <w:rPr>
          <w:b/>
        </w:rPr>
        <w:t>палати Вищої ради правосуддя</w:t>
      </w:r>
      <w:r w:rsidRPr="0004175A">
        <w:rPr>
          <w:b/>
        </w:rPr>
        <w:tab/>
      </w:r>
      <w:r w:rsidR="00D37247" w:rsidRPr="0004175A">
        <w:rPr>
          <w:b/>
        </w:rPr>
        <w:t>В.І. Говоруха</w:t>
      </w:r>
    </w:p>
    <w:p w:rsidR="0004175A" w:rsidRPr="0004175A" w:rsidRDefault="0004175A" w:rsidP="0004175A">
      <w:pPr>
        <w:jc w:val="both"/>
        <w:rPr>
          <w:b/>
        </w:rPr>
      </w:pPr>
    </w:p>
    <w:p w:rsidR="0004175A" w:rsidRPr="0004175A" w:rsidRDefault="0004175A" w:rsidP="0004175A">
      <w:pPr>
        <w:jc w:val="both"/>
        <w:rPr>
          <w:b/>
        </w:rPr>
      </w:pPr>
      <w:r w:rsidRPr="0004175A">
        <w:rPr>
          <w:b/>
        </w:rPr>
        <w:t xml:space="preserve">Члени Третьої Дисциплінарної </w:t>
      </w:r>
    </w:p>
    <w:p w:rsidR="0004175A" w:rsidRPr="0004175A" w:rsidRDefault="0004175A" w:rsidP="0004175A">
      <w:pPr>
        <w:tabs>
          <w:tab w:val="left" w:pos="6379"/>
        </w:tabs>
        <w:jc w:val="both"/>
        <w:rPr>
          <w:b/>
        </w:rPr>
      </w:pPr>
      <w:r w:rsidRPr="0004175A">
        <w:rPr>
          <w:b/>
        </w:rPr>
        <w:t>палати Вищої ради правосуддя</w:t>
      </w:r>
      <w:r w:rsidRPr="0004175A">
        <w:rPr>
          <w:b/>
        </w:rPr>
        <w:tab/>
        <w:t>Л.Б. Іванова</w:t>
      </w:r>
    </w:p>
    <w:p w:rsidR="0004175A" w:rsidRPr="0004175A" w:rsidRDefault="0004175A" w:rsidP="0004175A">
      <w:pPr>
        <w:jc w:val="both"/>
        <w:rPr>
          <w:b/>
        </w:rPr>
      </w:pPr>
    </w:p>
    <w:p w:rsidR="00D37247" w:rsidRDefault="0004175A" w:rsidP="0004175A">
      <w:pPr>
        <w:tabs>
          <w:tab w:val="left" w:pos="6379"/>
        </w:tabs>
        <w:jc w:val="both"/>
        <w:rPr>
          <w:b/>
        </w:rPr>
      </w:pPr>
      <w:r w:rsidRPr="0004175A">
        <w:rPr>
          <w:b/>
        </w:rPr>
        <w:tab/>
      </w:r>
    </w:p>
    <w:p w:rsidR="0004175A" w:rsidRPr="0004175A" w:rsidRDefault="00D37247" w:rsidP="0004175A">
      <w:pPr>
        <w:tabs>
          <w:tab w:val="left" w:pos="6379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04175A" w:rsidRPr="0004175A">
        <w:rPr>
          <w:b/>
        </w:rPr>
        <w:t>В.В. Матвійчук</w:t>
      </w:r>
    </w:p>
    <w:p w:rsidR="00D37247" w:rsidRDefault="00D37247" w:rsidP="0004175A">
      <w:pPr>
        <w:jc w:val="both"/>
        <w:rPr>
          <w:b/>
        </w:rPr>
      </w:pPr>
    </w:p>
    <w:p w:rsidR="00D37247" w:rsidRDefault="00D37247" w:rsidP="0004175A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p w:rsidR="00AB76CF" w:rsidRPr="0004175A" w:rsidRDefault="00D37247" w:rsidP="0004175A">
      <w:pPr>
        <w:jc w:val="both"/>
      </w:pPr>
      <w:r>
        <w:rPr>
          <w:b/>
        </w:rPr>
        <w:t xml:space="preserve">                                                                                          </w:t>
      </w:r>
      <w:r w:rsidRPr="0004175A">
        <w:rPr>
          <w:b/>
        </w:rPr>
        <w:t xml:space="preserve">Л.А. </w:t>
      </w:r>
      <w:proofErr w:type="spellStart"/>
      <w:r w:rsidRPr="0004175A">
        <w:rPr>
          <w:b/>
        </w:rPr>
        <w:t>Швецова</w:t>
      </w:r>
      <w:proofErr w:type="spellEnd"/>
    </w:p>
    <w:sectPr w:rsidR="00AB76CF" w:rsidRPr="0004175A" w:rsidSect="00894D44">
      <w:headerReference w:type="default" r:id="rId7"/>
      <w:pgSz w:w="11906" w:h="16838"/>
      <w:pgMar w:top="1134" w:right="851" w:bottom="156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82" w:rsidRDefault="006A6C82" w:rsidP="00E41817">
      <w:r>
        <w:separator/>
      </w:r>
    </w:p>
  </w:endnote>
  <w:endnote w:type="continuationSeparator" w:id="0">
    <w:p w:rsidR="006A6C82" w:rsidRDefault="006A6C82" w:rsidP="00E4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82" w:rsidRDefault="006A6C82" w:rsidP="00E41817">
      <w:r>
        <w:separator/>
      </w:r>
    </w:p>
  </w:footnote>
  <w:footnote w:type="continuationSeparator" w:id="0">
    <w:p w:rsidR="006A6C82" w:rsidRDefault="006A6C82" w:rsidP="00E41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E41817">
    <w:pPr>
      <w:pStyle w:val="a7"/>
      <w:jc w:val="center"/>
    </w:pPr>
    <w:r>
      <w:fldChar w:fldCharType="begin"/>
    </w:r>
    <w:r w:rsidR="00C5650E">
      <w:instrText xml:space="preserve"> PAGE   \* MERGEFORMAT </w:instrText>
    </w:r>
    <w:r>
      <w:fldChar w:fldCharType="separate"/>
    </w:r>
    <w:r w:rsidR="00B75125">
      <w:rPr>
        <w:noProof/>
      </w:rPr>
      <w:t>2</w:t>
    </w:r>
    <w:r>
      <w:rPr>
        <w:noProof/>
      </w:rPr>
      <w:fldChar w:fldCharType="end"/>
    </w:r>
  </w:p>
  <w:p w:rsidR="001D4F10" w:rsidRDefault="006A6C8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5A"/>
    <w:rsid w:val="0004175A"/>
    <w:rsid w:val="001469D8"/>
    <w:rsid w:val="001B096D"/>
    <w:rsid w:val="001C53B7"/>
    <w:rsid w:val="00263E04"/>
    <w:rsid w:val="002A485E"/>
    <w:rsid w:val="003111A3"/>
    <w:rsid w:val="004B4E8E"/>
    <w:rsid w:val="004E6922"/>
    <w:rsid w:val="00500E0C"/>
    <w:rsid w:val="00566F99"/>
    <w:rsid w:val="00603E78"/>
    <w:rsid w:val="00631724"/>
    <w:rsid w:val="006A6C82"/>
    <w:rsid w:val="006D2A8B"/>
    <w:rsid w:val="006E3EBF"/>
    <w:rsid w:val="007B0852"/>
    <w:rsid w:val="00873CBD"/>
    <w:rsid w:val="008B15F2"/>
    <w:rsid w:val="008F75DD"/>
    <w:rsid w:val="00AB76CF"/>
    <w:rsid w:val="00B31E12"/>
    <w:rsid w:val="00B75125"/>
    <w:rsid w:val="00BA6867"/>
    <w:rsid w:val="00BE1D93"/>
    <w:rsid w:val="00C41CDC"/>
    <w:rsid w:val="00C5650E"/>
    <w:rsid w:val="00D12027"/>
    <w:rsid w:val="00D37247"/>
    <w:rsid w:val="00E41817"/>
    <w:rsid w:val="00F1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C6A3"/>
  <w15:docId w15:val="{EE2FCC74-703B-4D7C-A6CC-97301457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5A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75DD"/>
    <w:pPr>
      <w:keepNext/>
      <w:keepLines/>
      <w:spacing w:before="480" w:line="360" w:lineRule="auto"/>
      <w:outlineLvl w:val="0"/>
    </w:pPr>
    <w:rPr>
      <w:rFonts w:ascii="Cambria" w:eastAsia="Times New Roman" w:hAnsi="Cambria"/>
      <w:b/>
      <w:bCs/>
      <w:color w:val="365F91"/>
      <w:sz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5DD"/>
    <w:pPr>
      <w:keepNext/>
      <w:spacing w:before="240" w:after="60" w:line="360" w:lineRule="auto"/>
      <w:outlineLvl w:val="1"/>
    </w:pPr>
    <w:rPr>
      <w:rFonts w:ascii="Calibri Light" w:eastAsia="Times New Roman" w:hAnsi="Calibri Light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6E3EBF"/>
    <w:pPr>
      <w:spacing w:line="360" w:lineRule="auto"/>
      <w:ind w:firstLine="709"/>
      <w:jc w:val="both"/>
    </w:pPr>
    <w:rPr>
      <w:szCs w:val="22"/>
    </w:rPr>
  </w:style>
  <w:style w:type="character" w:customStyle="1" w:styleId="12">
    <w:name w:val="Стиль1 Знак"/>
    <w:basedOn w:val="a0"/>
    <w:link w:val="11"/>
    <w:rsid w:val="006E3EBF"/>
  </w:style>
  <w:style w:type="character" w:customStyle="1" w:styleId="10">
    <w:name w:val="Заголовок 1 Знак"/>
    <w:link w:val="1"/>
    <w:uiPriority w:val="9"/>
    <w:rsid w:val="008F75DD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link w:val="2"/>
    <w:uiPriority w:val="9"/>
    <w:semiHidden/>
    <w:rsid w:val="008F75D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semiHidden/>
    <w:unhideWhenUsed/>
    <w:rsid w:val="0004175A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04175A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04175A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04175A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04175A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04175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04175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04175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04175A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4175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4175A"/>
    <w:rPr>
      <w:sz w:val="28"/>
      <w:szCs w:val="28"/>
    </w:rPr>
  </w:style>
  <w:style w:type="character" w:customStyle="1" w:styleId="a6">
    <w:name w:val="Абзац списку Знак"/>
    <w:aliases w:val="Подглава Знак"/>
    <w:link w:val="a5"/>
    <w:uiPriority w:val="34"/>
    <w:locked/>
    <w:rsid w:val="0004175A"/>
    <w:rPr>
      <w:sz w:val="28"/>
    </w:rPr>
  </w:style>
  <w:style w:type="character" w:styleId="a9">
    <w:name w:val="Strong"/>
    <w:uiPriority w:val="22"/>
    <w:qFormat/>
    <w:rsid w:val="0004175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3724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3724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3921</Words>
  <Characters>2235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</dc:creator>
  <cp:keywords/>
  <dc:description/>
  <cp:lastModifiedBy>Ірина Акбарова (VRU-US10PC27 - i.akbarova)</cp:lastModifiedBy>
  <cp:revision>6</cp:revision>
  <cp:lastPrinted>2020-03-02T15:32:00Z</cp:lastPrinted>
  <dcterms:created xsi:type="dcterms:W3CDTF">2020-03-02T15:29:00Z</dcterms:created>
  <dcterms:modified xsi:type="dcterms:W3CDTF">2020-03-05T14:54:00Z</dcterms:modified>
</cp:coreProperties>
</file>