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0C" w:rsidRPr="00E0270C" w:rsidRDefault="00E0270C" w:rsidP="00E0270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AEEA84" wp14:editId="5367B5B3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E0270C" w:rsidRPr="00E0270C" w:rsidTr="007C3355">
        <w:trPr>
          <w:trHeight w:val="188"/>
        </w:trPr>
        <w:tc>
          <w:tcPr>
            <w:tcW w:w="3726" w:type="dxa"/>
            <w:hideMark/>
          </w:tcPr>
          <w:p w:rsidR="00E0270C" w:rsidRPr="00E0270C" w:rsidRDefault="00D14013" w:rsidP="00D14013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11.03.2020</w:t>
            </w:r>
            <w:r w:rsidR="00E0270C" w:rsidRPr="00E0270C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E0270C" w:rsidRPr="00E0270C" w:rsidRDefault="00E0270C" w:rsidP="00E0270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</w:t>
            </w:r>
            <w:bookmarkStart w:id="0" w:name="_GoBack"/>
            <w:bookmarkEnd w:id="0"/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иїв</w:t>
            </w:r>
          </w:p>
        </w:tc>
        <w:tc>
          <w:tcPr>
            <w:tcW w:w="4255" w:type="dxa"/>
            <w:hideMark/>
          </w:tcPr>
          <w:p w:rsidR="00E0270C" w:rsidRPr="00E0270C" w:rsidRDefault="00E0270C" w:rsidP="00D14013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E02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№ </w:t>
            </w:r>
            <w:r w:rsidR="00D140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731/2дп/15-20</w:t>
            </w:r>
          </w:p>
        </w:tc>
      </w:tr>
      <w:tr w:rsidR="00E0270C" w:rsidRPr="00E0270C" w:rsidTr="007C3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70C" w:rsidRPr="00E0270C" w:rsidRDefault="00E0270C" w:rsidP="00F212A3">
            <w:pPr>
              <w:widowControl w:val="0"/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Вольфовича О.В.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стосовно судді 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іровського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районного суду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міста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Дніпропетровськ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</w:t>
            </w:r>
            <w:r w:rsidR="00F25FFD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а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толікяна</w:t>
            </w:r>
            <w:proofErr w:type="spellEnd"/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М.О.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; 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Бунди В.Ф.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proofErr w:type="spellStart"/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Нетішинського</w:t>
            </w:r>
            <w:proofErr w:type="spellEnd"/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міського суду Хмельницької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області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Стасюка</w:t>
            </w:r>
            <w:proofErr w:type="spellEnd"/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Р.М.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Жука А.П.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</w:t>
            </w:r>
            <w:r w:rsidR="00A81FC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Львівського апеляційного суду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proofErr w:type="spellStart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Мікуш</w:t>
            </w:r>
            <w:proofErr w:type="spellEnd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Ю.Р., Приколоти Т.І., Апеляційної палати Вищого антикорупційного суду       </w:t>
            </w:r>
            <w:proofErr w:type="spellStart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Павлишина</w:t>
            </w:r>
            <w:proofErr w:type="spellEnd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О.Ф.</w:t>
            </w:r>
            <w:r w:rsidR="000706D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(за дії, вчинені на посаді суддів апеляційного суду Львівської області)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; 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адвоката </w:t>
            </w:r>
            <w:proofErr w:type="spellStart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Каленського</w:t>
            </w:r>
            <w:proofErr w:type="spellEnd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І.Б.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Шевченківського районного суду міста Києва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Мєлєшак</w:t>
            </w:r>
            <w:proofErr w:type="spellEnd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О.В.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Ставицького</w:t>
            </w:r>
            <w:proofErr w:type="spellEnd"/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В.М.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суддів Київського апеляційного суду 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Левенця Б.Б., Ратнікової В.М., Борисової О.В.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; 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Руденка С.В.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proofErr w:type="spellStart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П’ят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и</w:t>
            </w:r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хатського</w:t>
            </w:r>
            <w:proofErr w:type="spellEnd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районного суду Дніпропетровської області </w:t>
            </w:r>
            <w:proofErr w:type="spellStart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Фирси</w:t>
            </w:r>
            <w:proofErr w:type="spellEnd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Ю.В.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Дятленка</w:t>
            </w:r>
            <w:proofErr w:type="spellEnd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М.О.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</w:t>
            </w:r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Дніпровського апеляційного суду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Каратаєвої</w:t>
            </w:r>
            <w:proofErr w:type="spellEnd"/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Л.О., Ткаченко І.Ю., Деркач Н.М.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; </w:t>
            </w:r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прокуратури Херсонської області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Херсонського міського суду Херсонської області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391D1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Радченко Г.А.</w:t>
            </w:r>
          </w:p>
          <w:p w:rsidR="00E0270C" w:rsidRPr="00E0270C" w:rsidRDefault="00E0270C" w:rsidP="00E0270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proofErr w:type="spellStart"/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Прудивуса О.В.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розглянувши висновки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E0270C" w:rsidRPr="003E1E0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E0270C" w:rsidRPr="003E1E0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>грудня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до Вищої ради правосуддя за вхідним №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В-3272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>-1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Вольфовича О.В.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Кіровського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міста Дніпропетровська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Католякіна</w:t>
      </w:r>
      <w:proofErr w:type="spellEnd"/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М.О.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203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2929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-ц.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Грищуком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про відсутність підстав для відкриття дисциплінарної справи, оскільки </w:t>
      </w:r>
      <w:r w:rsidR="004B7F49" w:rsidRPr="004B7F49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вересня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року до Вищої ради правосуддя за вхідним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5410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/7-19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Бунди В.Ф.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proofErr w:type="spellStart"/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Нетішинського</w:t>
      </w:r>
      <w:proofErr w:type="spellEnd"/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міського суду Хмельницької області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7DB3">
        <w:rPr>
          <w:rFonts w:ascii="Times New Roman" w:eastAsia="Calibri" w:hAnsi="Times New Roman" w:cs="Times New Roman"/>
          <w:sz w:val="28"/>
          <w:szCs w:val="28"/>
          <w:lang w:eastAsia="ru-RU"/>
        </w:rPr>
        <w:t>Стасюка</w:t>
      </w:r>
      <w:proofErr w:type="spellEnd"/>
      <w:r w:rsidR="00277D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Р.М.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77D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277DB3">
        <w:rPr>
          <w:rFonts w:ascii="Times New Roman" w:eastAsia="Calibri" w:hAnsi="Times New Roman" w:cs="Times New Roman"/>
          <w:sz w:val="28"/>
          <w:szCs w:val="28"/>
          <w:lang w:eastAsia="ru-RU"/>
        </w:rPr>
        <w:t>679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277DB3">
        <w:rPr>
          <w:rFonts w:ascii="Times New Roman" w:eastAsia="Calibri" w:hAnsi="Times New Roman" w:cs="Times New Roman"/>
          <w:sz w:val="28"/>
          <w:szCs w:val="28"/>
          <w:lang w:eastAsia="ru-RU"/>
        </w:rPr>
        <w:t>318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/19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1-кс/679/350/2019)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277DB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26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277DB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лютого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 незгоди із судовим рішенням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F07CCB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 </w:t>
      </w:r>
      <w:r w:rsidR="00277DB3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вересня</w:t>
      </w:r>
      <w:r w:rsidR="00F07CCB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201</w:t>
      </w:r>
      <w:r w:rsidR="00277DB3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9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року до Вищої ради правосуддя за вхідним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277D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="00277D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4973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/0/7-1</w:t>
      </w:r>
      <w:r w:rsidR="00277D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277D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Жука А.П.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</w:t>
      </w:r>
      <w:r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дії судді</w:t>
      </w:r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апеляційного суду</w:t>
      </w:r>
      <w:r w:rsidR="00625030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Львівської області</w:t>
      </w:r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Мікуш</w:t>
      </w:r>
      <w:proofErr w:type="spellEnd"/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Ю.Р., Приколоти Т.І.</w:t>
      </w:r>
      <w:r w:rsidR="00625030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(нині – судді Львівського апеляційного суду)</w:t>
      </w:r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625030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Павлишина</w:t>
      </w:r>
      <w:proofErr w:type="spellEnd"/>
      <w:r w:rsidR="00625030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О.Ф. (нині – суддя </w:t>
      </w:r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Апеляційної палати Вищого антикорупційного суду</w:t>
      </w:r>
      <w:r w:rsidR="00625030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277DB3" w:rsidRP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під час розгляду справи № 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459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2116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</w:t>
      </w:r>
      <w:r w:rsidR="006250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(провадження </w:t>
      </w:r>
      <w:r w:rsidR="008807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6250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625030" w:rsidRPr="006250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22-ц/783/187/18</w:t>
      </w:r>
      <w:r w:rsidR="006250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675B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6031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BF032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26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F032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лютого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</w:t>
      </w:r>
      <w:r w:rsid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у поведінці судді</w:t>
      </w:r>
      <w:r w:rsidR="000706D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</w:t>
      </w:r>
      <w:r w:rsid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не вбачається ознак дисциплінарних проступків, а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4. </w:t>
      </w:r>
      <w:r w:rsidR="00BF0328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21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BF0328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жовтня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2019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року до Вищої ради правосуддя за вхідним</w:t>
      </w:r>
      <w:r w:rsidR="000172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К-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5794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/0/7-19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адвоката </w:t>
      </w:r>
      <w:proofErr w:type="spellStart"/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Каленського</w:t>
      </w:r>
      <w:proofErr w:type="spellEnd"/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І.Б.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Шевченківського районного суду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міста Києва </w:t>
      </w:r>
      <w:proofErr w:type="spellStart"/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Мєлєшак</w:t>
      </w:r>
      <w:proofErr w:type="spellEnd"/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О.В.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761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36096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/1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(провадження № 1-кс/761/24833/2019)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6031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BF032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25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лютого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підстав для відкриття дисциплінарної справи, оскільки суть скарги зводиться </w:t>
      </w:r>
      <w:r w:rsidR="00F07CCB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E0270C" w:rsidRPr="008807F5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23 липня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С-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4079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/1/7-19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 w:rsidR="002E118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E118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Ставицького</w:t>
      </w:r>
      <w:proofErr w:type="spellEnd"/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дії суддів Київського апеляційного </w:t>
      </w:r>
      <w:r w:rsidR="00B02F1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суду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Левенця Б.Б.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Ратнікової В.М.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Борисової О.В.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№ 7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20449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66C1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22-ц/824/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8885</w:t>
      </w:r>
      <w:r w:rsidR="00A66C1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/2019)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BF0328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  <w:lang w:eastAsia="ru-RU"/>
        </w:rPr>
      </w:pP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скарг</w:t>
      </w:r>
      <w:r w:rsidR="00D4293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 w:rsidR="00B02F1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 поведінці судді</w:t>
      </w:r>
      <w:r w:rsidR="000706D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</w:t>
      </w:r>
      <w:r w:rsid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не вбачається ознак дисциплінарних проступків, а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2F14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лише до незгоди із судовим рішенням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B02F1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8807F5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3671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2B3671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до В</w:t>
      </w:r>
      <w:r w:rsidR="002B3671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ищої ради правосуддя за вхідним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№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1338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/0/7-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Руденка С.В.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proofErr w:type="spellStart"/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П’ятихатського</w:t>
      </w:r>
      <w:proofErr w:type="spellEnd"/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Дніпропетровської області </w:t>
      </w:r>
      <w:proofErr w:type="spellStart"/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Фирси</w:t>
      </w:r>
      <w:proofErr w:type="spellEnd"/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Ю.В.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B3671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190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1675</w:t>
      </w:r>
      <w:r w:rsidR="00C563A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0821D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</w:t>
      </w:r>
      <w:r w:rsidR="0052566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146E3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25668">
        <w:rPr>
          <w:rFonts w:ascii="Times New Roman" w:eastAsia="Calibri" w:hAnsi="Times New Roman" w:cs="Times New Roman"/>
          <w:sz w:val="28"/>
          <w:szCs w:val="28"/>
          <w:lang w:eastAsia="ru-RU"/>
        </w:rPr>
        <w:t>190</w:t>
      </w:r>
      <w:r w:rsidR="00146E3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/1/</w:t>
      </w:r>
      <w:r w:rsidR="0052566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146E3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2B3671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B3671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52566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</w:t>
      </w:r>
      <w:r w:rsidR="00C563A7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7 </w:t>
      </w:r>
      <w:r w:rsidR="0052566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лютого</w:t>
      </w:r>
      <w:r w:rsidR="00C563A7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2020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</w:t>
      </w:r>
      <w:r w:rsidR="003D051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ться лише до незгоди із судовим рішенням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E0270C" w:rsidRDefault="00E0270C" w:rsidP="00794AE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980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>/7-</w:t>
      </w:r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>Дятленка</w:t>
      </w:r>
      <w:proofErr w:type="spellEnd"/>
      <w:r w:rsidR="00BF03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М.О.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AF040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F0407">
        <w:rPr>
          <w:rFonts w:ascii="Times New Roman" w:eastAsia="Calibri" w:hAnsi="Times New Roman" w:cs="Times New Roman"/>
          <w:sz w:val="28"/>
          <w:szCs w:val="28"/>
          <w:lang w:eastAsia="ru-RU"/>
        </w:rPr>
        <w:t>Дніпровського апеляційного суду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0407">
        <w:rPr>
          <w:rFonts w:ascii="Times New Roman" w:eastAsia="Calibri" w:hAnsi="Times New Roman" w:cs="Times New Roman"/>
          <w:sz w:val="28"/>
          <w:szCs w:val="28"/>
          <w:lang w:eastAsia="ru-RU"/>
        </w:rPr>
        <w:t>Каратаєвої</w:t>
      </w:r>
      <w:proofErr w:type="spellEnd"/>
      <w:r w:rsidR="00AF0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Л.О., Ткаченко І.Ю., Деркач Н.М.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E0270C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 xml:space="preserve">№ </w:t>
      </w:r>
      <w:r w:rsidR="00AF0407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200</w:t>
      </w:r>
      <w:r w:rsidR="00FE2F5F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/</w:t>
      </w:r>
      <w:r w:rsidR="00AF0407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13536</w:t>
      </w:r>
      <w:r w:rsidR="00FE2F5F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/18</w:t>
      </w:r>
      <w:r w:rsidR="002B3671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B36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AF040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26</w:t>
      </w:r>
      <w:r w:rsidR="00FE2F5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лютого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0270C" w:rsidRPr="00E0270C" w:rsidRDefault="00E0270C" w:rsidP="00794AE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</w:t>
      </w:r>
      <w:r w:rsidR="006D4724"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D4724"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року до Вищої ради правосуддя за вхідним</w:t>
      </w:r>
      <w:r w:rsidR="002B367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№ 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152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/0/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13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-20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надійшла скарга 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прокуратури Херсонської області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на дії судді 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Херсонського міського суду Херсонської області</w:t>
      </w:r>
      <w:r w:rsidR="00E43190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Радченко Г.А.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під час розгляду справ</w:t>
      </w:r>
      <w:r w:rsidR="00F802E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и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№ 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766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/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12356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/1</w:t>
      </w:r>
      <w:r w:rsidR="006D472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8 (провадження № 1-кс/766/18115/19)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.</w:t>
      </w:r>
    </w:p>
    <w:p w:rsidR="00F802E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80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6D4724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802E1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86E48" w:rsidRPr="00E0270C" w:rsidRDefault="006D4724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7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2 частини першої статті 45 Закону України </w:t>
      </w:r>
      <w:r w:rsidRPr="006D472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B3BEC" w:rsidRPr="003E1E01" w:rsidRDefault="007B3BE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0270C" w:rsidRPr="003E1E01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D4506" w:rsidRPr="00B50D8A" w:rsidRDefault="00E0270C" w:rsidP="00794AE6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6D4724">
        <w:rPr>
          <w:rFonts w:ascii="Times New Roman" w:eastAsia="Calibri" w:hAnsi="Times New Roman" w:cs="Times New Roman"/>
          <w:sz w:val="28"/>
          <w:szCs w:val="28"/>
        </w:rPr>
        <w:t>Вольфовича Олександра Віленовича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6D4724">
        <w:rPr>
          <w:rFonts w:ascii="Times New Roman" w:eastAsia="Calibri" w:hAnsi="Times New Roman" w:cs="Times New Roman"/>
          <w:sz w:val="28"/>
          <w:szCs w:val="28"/>
        </w:rPr>
        <w:t>Кіровського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районного суду</w:t>
      </w:r>
      <w:r w:rsidR="00F25FFD">
        <w:rPr>
          <w:rFonts w:ascii="Times New Roman" w:eastAsia="Calibri" w:hAnsi="Times New Roman" w:cs="Times New Roman"/>
          <w:sz w:val="28"/>
          <w:szCs w:val="28"/>
        </w:rPr>
        <w:t xml:space="preserve"> міста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Дніпропетровськ</w:t>
      </w:r>
      <w:r w:rsidR="006D4724">
        <w:rPr>
          <w:rFonts w:ascii="Times New Roman" w:eastAsia="Calibri" w:hAnsi="Times New Roman" w:cs="Times New Roman"/>
          <w:sz w:val="28"/>
          <w:szCs w:val="28"/>
        </w:rPr>
        <w:t>а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D4724">
        <w:rPr>
          <w:rFonts w:ascii="Times New Roman" w:eastAsia="Calibri" w:hAnsi="Times New Roman" w:cs="Times New Roman"/>
          <w:sz w:val="28"/>
          <w:szCs w:val="28"/>
        </w:rPr>
        <w:t>Католікяна</w:t>
      </w:r>
      <w:proofErr w:type="spellEnd"/>
      <w:r w:rsidR="006D4724">
        <w:rPr>
          <w:rFonts w:ascii="Times New Roman" w:eastAsia="Calibri" w:hAnsi="Times New Roman" w:cs="Times New Roman"/>
          <w:sz w:val="28"/>
          <w:szCs w:val="28"/>
        </w:rPr>
        <w:t xml:space="preserve"> Михайла Олександровича</w:t>
      </w:r>
      <w:r w:rsidR="001D4506" w:rsidRPr="00B50D8A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50D8A" w:rsidRDefault="001D4506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0270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дисциплінарної справи за скаргою </w:t>
      </w:r>
      <w:r w:rsidR="006D4724">
        <w:rPr>
          <w:rFonts w:ascii="Times New Roman" w:eastAsia="Calibri" w:hAnsi="Times New Roman" w:cs="Times New Roman"/>
          <w:sz w:val="28"/>
          <w:szCs w:val="28"/>
        </w:rPr>
        <w:t>Бунди В’ячеслава Федоровича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proofErr w:type="spellStart"/>
      <w:r w:rsidR="006D4724">
        <w:rPr>
          <w:rFonts w:ascii="Times New Roman" w:eastAsia="Calibri" w:hAnsi="Times New Roman" w:cs="Times New Roman"/>
          <w:sz w:val="28"/>
          <w:szCs w:val="28"/>
        </w:rPr>
        <w:t>Нетішинського</w:t>
      </w:r>
      <w:proofErr w:type="spellEnd"/>
      <w:r w:rsidR="006D4724">
        <w:rPr>
          <w:rFonts w:ascii="Times New Roman" w:eastAsia="Calibri" w:hAnsi="Times New Roman" w:cs="Times New Roman"/>
          <w:sz w:val="28"/>
          <w:szCs w:val="28"/>
        </w:rPr>
        <w:t xml:space="preserve"> міського суду Хмельницької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області </w:t>
      </w:r>
      <w:proofErr w:type="spellStart"/>
      <w:r w:rsidR="006D4724">
        <w:rPr>
          <w:rFonts w:ascii="Times New Roman" w:eastAsia="Calibri" w:hAnsi="Times New Roman" w:cs="Times New Roman"/>
          <w:sz w:val="28"/>
          <w:szCs w:val="28"/>
        </w:rPr>
        <w:t>Стасюка</w:t>
      </w:r>
      <w:proofErr w:type="spellEnd"/>
      <w:r w:rsidR="006D4724">
        <w:rPr>
          <w:rFonts w:ascii="Times New Roman" w:eastAsia="Calibri" w:hAnsi="Times New Roman" w:cs="Times New Roman"/>
          <w:sz w:val="28"/>
          <w:szCs w:val="28"/>
        </w:rPr>
        <w:t xml:space="preserve"> Романа Миколайовича</w:t>
      </w:r>
      <w:r w:rsidR="00B50D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4506" w:rsidRPr="00C733A9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C733A9" w:rsidRPr="00C73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4724">
        <w:rPr>
          <w:rFonts w:ascii="Times New Roman" w:eastAsia="Calibri" w:hAnsi="Times New Roman" w:cs="Times New Roman"/>
          <w:sz w:val="28"/>
          <w:szCs w:val="28"/>
        </w:rPr>
        <w:t>Жука Анатолія Петровича</w:t>
      </w:r>
      <w:r w:rsidR="00C733A9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</w:t>
      </w:r>
      <w:r w:rsidR="006D4724">
        <w:rPr>
          <w:rFonts w:ascii="Times New Roman" w:eastAsia="Calibri" w:hAnsi="Times New Roman" w:cs="Times New Roman"/>
          <w:sz w:val="28"/>
          <w:szCs w:val="28"/>
        </w:rPr>
        <w:t>в</w:t>
      </w:r>
      <w:r w:rsidR="00C733A9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Львівського апеляційного суду </w:t>
      </w:r>
      <w:proofErr w:type="spellStart"/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Мікуш</w:t>
      </w:r>
      <w:proofErr w:type="spellEnd"/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Ю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лії </w:t>
      </w:r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оманівни</w:t>
      </w:r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Приколоти Т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етяни </w:t>
      </w:r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І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ванівни</w:t>
      </w:r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Апеляційної палати Вищого антикорупційного суду </w:t>
      </w:r>
      <w:proofErr w:type="spellStart"/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Павлишина</w:t>
      </w:r>
      <w:proofErr w:type="spellEnd"/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лега </w:t>
      </w:r>
      <w:r w:rsidR="006D4724" w:rsidRPr="005256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едоровича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(за дії, вчинені на посаді суддів апеляційного суду Львівської області)</w:t>
      </w:r>
      <w:r w:rsidR="00794A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1D4506" w:rsidRPr="005F5BDC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215B7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C0E8E">
        <w:rPr>
          <w:rFonts w:ascii="Times New Roman" w:eastAsia="Calibri" w:hAnsi="Times New Roman" w:cs="Times New Roman"/>
          <w:sz w:val="28"/>
          <w:szCs w:val="28"/>
        </w:rPr>
        <w:t xml:space="preserve">адвоката </w:t>
      </w:r>
      <w:proofErr w:type="spellStart"/>
      <w:r w:rsidR="005C0E8E">
        <w:rPr>
          <w:rFonts w:ascii="Times New Roman" w:eastAsia="Calibri" w:hAnsi="Times New Roman" w:cs="Times New Roman"/>
          <w:sz w:val="28"/>
          <w:szCs w:val="28"/>
        </w:rPr>
        <w:t>Каленського</w:t>
      </w:r>
      <w:proofErr w:type="spellEnd"/>
      <w:r w:rsidR="005C0E8E">
        <w:rPr>
          <w:rFonts w:ascii="Times New Roman" w:eastAsia="Calibri" w:hAnsi="Times New Roman" w:cs="Times New Roman"/>
          <w:sz w:val="28"/>
          <w:szCs w:val="28"/>
        </w:rPr>
        <w:t xml:space="preserve"> Ігоря Борисовича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5C0E8E">
        <w:rPr>
          <w:rFonts w:ascii="Times New Roman" w:eastAsia="Calibri" w:hAnsi="Times New Roman" w:cs="Times New Roman"/>
          <w:sz w:val="28"/>
          <w:szCs w:val="28"/>
        </w:rPr>
        <w:t>Шевченківського районного суду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 xml:space="preserve"> міста Києва </w:t>
      </w:r>
      <w:proofErr w:type="spellStart"/>
      <w:r w:rsidR="005C0E8E">
        <w:rPr>
          <w:rFonts w:ascii="Times New Roman" w:eastAsia="Calibri" w:hAnsi="Times New Roman" w:cs="Times New Roman"/>
          <w:sz w:val="28"/>
          <w:szCs w:val="28"/>
        </w:rPr>
        <w:t>Мєлєшак</w:t>
      </w:r>
      <w:proofErr w:type="spellEnd"/>
      <w:r w:rsidR="005C0E8E">
        <w:rPr>
          <w:rFonts w:ascii="Times New Roman" w:eastAsia="Calibri" w:hAnsi="Times New Roman" w:cs="Times New Roman"/>
          <w:sz w:val="28"/>
          <w:szCs w:val="28"/>
        </w:rPr>
        <w:t xml:space="preserve"> Олени Вікторівни</w:t>
      </w:r>
      <w:r w:rsidRPr="005F5BDC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E686E" w:rsidRPr="005C0E8E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  <w:highlight w:val="red"/>
        </w:rPr>
      </w:pPr>
      <w:r w:rsidRPr="00794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794AE6">
        <w:rPr>
          <w:rFonts w:ascii="Times New Roman" w:eastAsia="Calibri" w:hAnsi="Times New Roman" w:cs="Times New Roman"/>
          <w:sz w:val="28"/>
          <w:szCs w:val="28"/>
        </w:rPr>
        <w:t>Ставицького</w:t>
      </w:r>
      <w:proofErr w:type="spellEnd"/>
      <w:r w:rsidR="00794AE6">
        <w:rPr>
          <w:rFonts w:ascii="Times New Roman" w:eastAsia="Calibri" w:hAnsi="Times New Roman" w:cs="Times New Roman"/>
          <w:sz w:val="28"/>
          <w:szCs w:val="28"/>
        </w:rPr>
        <w:t xml:space="preserve"> Василя Михайловича</w:t>
      </w:r>
      <w:r w:rsidR="005F5BDC" w:rsidRPr="00794AE6">
        <w:rPr>
          <w:rFonts w:ascii="Times New Roman" w:eastAsia="Calibri" w:hAnsi="Times New Roman" w:cs="Times New Roman"/>
          <w:sz w:val="28"/>
          <w:szCs w:val="28"/>
        </w:rPr>
        <w:t xml:space="preserve"> стосовно суддів Київського апеляційного суду </w:t>
      </w:r>
      <w:r w:rsidR="00794AE6">
        <w:rPr>
          <w:rFonts w:ascii="Times New Roman" w:eastAsia="Calibri" w:hAnsi="Times New Roman" w:cs="Times New Roman"/>
          <w:sz w:val="28"/>
          <w:szCs w:val="28"/>
        </w:rPr>
        <w:t>Левенця Бориса Борисовича</w:t>
      </w:r>
      <w:r w:rsidR="005F5BDC" w:rsidRPr="00794A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94AE6">
        <w:rPr>
          <w:rFonts w:ascii="Times New Roman" w:eastAsia="Calibri" w:hAnsi="Times New Roman" w:cs="Times New Roman"/>
          <w:sz w:val="28"/>
          <w:szCs w:val="28"/>
        </w:rPr>
        <w:t>Ратнікової Валентини Миколаївни, Борисової Олени Василівни</w:t>
      </w:r>
      <w:r w:rsidR="00BE686E" w:rsidRPr="00794AE6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5F5BDC" w:rsidRPr="00E82888" w:rsidRDefault="00BE686E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794AE6">
        <w:rPr>
          <w:rFonts w:ascii="Times New Roman" w:eastAsia="Calibri" w:hAnsi="Times New Roman" w:cs="Times New Roman"/>
          <w:sz w:val="28"/>
          <w:szCs w:val="28"/>
        </w:rPr>
        <w:t>Руденка Сергія Васильовича</w:t>
      </w:r>
      <w:r w:rsidR="00E82888" w:rsidRPr="00794AE6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proofErr w:type="spellStart"/>
      <w:r w:rsidR="00794AE6">
        <w:rPr>
          <w:rFonts w:ascii="Times New Roman" w:eastAsia="Calibri" w:hAnsi="Times New Roman" w:cs="Times New Roman"/>
          <w:sz w:val="28"/>
          <w:szCs w:val="28"/>
        </w:rPr>
        <w:t>П’ятихатського</w:t>
      </w:r>
      <w:proofErr w:type="spellEnd"/>
      <w:r w:rsidR="00E82888" w:rsidRPr="00794AE6">
        <w:rPr>
          <w:rFonts w:ascii="Times New Roman" w:eastAsia="Calibri" w:hAnsi="Times New Roman" w:cs="Times New Roman"/>
          <w:sz w:val="28"/>
          <w:szCs w:val="28"/>
        </w:rPr>
        <w:t xml:space="preserve"> районного суду </w:t>
      </w:r>
      <w:r w:rsidR="00794AE6">
        <w:rPr>
          <w:rFonts w:ascii="Times New Roman" w:eastAsia="Calibri" w:hAnsi="Times New Roman" w:cs="Times New Roman"/>
          <w:sz w:val="28"/>
          <w:szCs w:val="28"/>
        </w:rPr>
        <w:t>Дніпропетровської області</w:t>
      </w:r>
      <w:r w:rsidR="00E82888" w:rsidRPr="00794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94AE6">
        <w:rPr>
          <w:rFonts w:ascii="Times New Roman" w:eastAsia="Calibri" w:hAnsi="Times New Roman" w:cs="Times New Roman"/>
          <w:sz w:val="28"/>
          <w:szCs w:val="28"/>
        </w:rPr>
        <w:t>Фирси</w:t>
      </w:r>
      <w:proofErr w:type="spellEnd"/>
      <w:r w:rsidR="00794AE6">
        <w:rPr>
          <w:rFonts w:ascii="Times New Roman" w:eastAsia="Calibri" w:hAnsi="Times New Roman" w:cs="Times New Roman"/>
          <w:sz w:val="28"/>
          <w:szCs w:val="28"/>
        </w:rPr>
        <w:t xml:space="preserve"> Юлії Вікторівни</w:t>
      </w:r>
      <w:r w:rsidR="00E82888" w:rsidRPr="00794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1809" w:rsidRDefault="00BE686E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BE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0E8E">
        <w:rPr>
          <w:rFonts w:ascii="Times New Roman" w:eastAsia="Calibri" w:hAnsi="Times New Roman" w:cs="Times New Roman"/>
          <w:sz w:val="28"/>
          <w:szCs w:val="28"/>
        </w:rPr>
        <w:t>Дятленка</w:t>
      </w:r>
      <w:proofErr w:type="spellEnd"/>
      <w:r w:rsidR="005C0E8E">
        <w:rPr>
          <w:rFonts w:ascii="Times New Roman" w:eastAsia="Calibri" w:hAnsi="Times New Roman" w:cs="Times New Roman"/>
          <w:sz w:val="28"/>
          <w:szCs w:val="28"/>
        </w:rPr>
        <w:t xml:space="preserve"> Миколи Олександровича</w:t>
      </w:r>
      <w:r w:rsidR="00082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1809" w:rsidRPr="00B50D8A">
        <w:rPr>
          <w:rFonts w:ascii="Times New Roman" w:eastAsia="Calibri" w:hAnsi="Times New Roman" w:cs="Times New Roman"/>
          <w:sz w:val="28"/>
          <w:szCs w:val="28"/>
        </w:rPr>
        <w:t>стосовно судді</w:t>
      </w:r>
      <w:r w:rsidR="005C0E8E">
        <w:rPr>
          <w:rFonts w:ascii="Times New Roman" w:eastAsia="Calibri" w:hAnsi="Times New Roman" w:cs="Times New Roman"/>
          <w:sz w:val="28"/>
          <w:szCs w:val="28"/>
        </w:rPr>
        <w:t>в</w:t>
      </w:r>
      <w:r w:rsidR="00A91809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0E8E">
        <w:rPr>
          <w:rFonts w:ascii="Times New Roman" w:eastAsia="Calibri" w:hAnsi="Times New Roman" w:cs="Times New Roman"/>
          <w:sz w:val="28"/>
          <w:szCs w:val="28"/>
        </w:rPr>
        <w:t xml:space="preserve">Дніпровського апеляційного суду </w:t>
      </w:r>
      <w:proofErr w:type="spellStart"/>
      <w:r w:rsidR="005C0E8E">
        <w:rPr>
          <w:rFonts w:ascii="Times New Roman" w:eastAsia="Calibri" w:hAnsi="Times New Roman" w:cs="Times New Roman"/>
          <w:sz w:val="28"/>
          <w:szCs w:val="28"/>
        </w:rPr>
        <w:t>Каратаєвої</w:t>
      </w:r>
      <w:proofErr w:type="spellEnd"/>
      <w:r w:rsidR="005C0E8E">
        <w:rPr>
          <w:rFonts w:ascii="Times New Roman" w:eastAsia="Calibri" w:hAnsi="Times New Roman" w:cs="Times New Roman"/>
          <w:sz w:val="28"/>
          <w:szCs w:val="28"/>
        </w:rPr>
        <w:t xml:space="preserve"> Людмили Олексіївни, Ткаченко Ілони Юріївни, Деркач Наталії Миколаївни</w:t>
      </w:r>
      <w:r w:rsidR="00A918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686E" w:rsidRDefault="00BE686E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A71E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C0E8E">
        <w:rPr>
          <w:rFonts w:ascii="Times New Roman" w:eastAsia="Calibri" w:hAnsi="Times New Roman" w:cs="Times New Roman"/>
          <w:sz w:val="28"/>
          <w:szCs w:val="28"/>
        </w:rPr>
        <w:t>прокуратури Херсонської області</w:t>
      </w:r>
      <w:r w:rsidR="00A03287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5C0E8E">
        <w:rPr>
          <w:rFonts w:ascii="Times New Roman" w:eastAsia="Calibri" w:hAnsi="Times New Roman" w:cs="Times New Roman"/>
          <w:sz w:val="28"/>
          <w:szCs w:val="28"/>
        </w:rPr>
        <w:t>Херсонського міського суду Херсонської області</w:t>
      </w:r>
      <w:r w:rsidR="00A03287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0E8E">
        <w:rPr>
          <w:rFonts w:ascii="Times New Roman" w:eastAsia="Calibri" w:hAnsi="Times New Roman" w:cs="Times New Roman"/>
          <w:sz w:val="28"/>
          <w:szCs w:val="28"/>
        </w:rPr>
        <w:t>Радченко Галини Анатоліївни</w:t>
      </w:r>
      <w:r w:rsidR="00A032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270C" w:rsidRPr="00E0270C" w:rsidRDefault="0001721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B50D8A" w:rsidRDefault="00B50D8A" w:rsidP="00794AE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3190" w:rsidRPr="00B50D8A" w:rsidRDefault="00E43190" w:rsidP="00794AE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E0270C" w:rsidRPr="00E0270C" w:rsidRDefault="00E0270C" w:rsidP="00794A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E878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E0270C" w:rsidRPr="00C47CB6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P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E0270C" w:rsidRP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E0270C" w:rsidRPr="00C47CB6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</w:p>
    <w:p w:rsidR="00E0270C" w:rsidRPr="00C47CB6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2CD" w:rsidRPr="00696382" w:rsidRDefault="005C0E8E" w:rsidP="00D14013">
      <w:pPr>
        <w:spacing w:after="0" w:line="276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sectPr w:rsidR="006002CD" w:rsidRPr="00696382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37D" w:rsidRDefault="005A237D">
      <w:pPr>
        <w:spacing w:after="0" w:line="240" w:lineRule="auto"/>
      </w:pPr>
      <w:r>
        <w:separator/>
      </w:r>
    </w:p>
  </w:endnote>
  <w:endnote w:type="continuationSeparator" w:id="0">
    <w:p w:rsidR="005A237D" w:rsidRDefault="005A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37D" w:rsidRDefault="005A237D">
      <w:pPr>
        <w:spacing w:after="0" w:line="240" w:lineRule="auto"/>
      </w:pPr>
      <w:r>
        <w:separator/>
      </w:r>
    </w:p>
  </w:footnote>
  <w:footnote w:type="continuationSeparator" w:id="0">
    <w:p w:rsidR="005A237D" w:rsidRDefault="005A2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D649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D14013">
      <w:rPr>
        <w:rFonts w:ascii="Times New Roman" w:hAnsi="Times New Roman" w:cs="Times New Roman"/>
        <w:noProof/>
        <w:sz w:val="24"/>
        <w:szCs w:val="24"/>
      </w:rPr>
      <w:t>4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5A237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0C"/>
    <w:rsid w:val="0001721C"/>
    <w:rsid w:val="00044BFE"/>
    <w:rsid w:val="00054271"/>
    <w:rsid w:val="000706D6"/>
    <w:rsid w:val="000812F7"/>
    <w:rsid w:val="000821D4"/>
    <w:rsid w:val="00086E48"/>
    <w:rsid w:val="000B1C40"/>
    <w:rsid w:val="000F75BE"/>
    <w:rsid w:val="00134D38"/>
    <w:rsid w:val="00146E36"/>
    <w:rsid w:val="001A37C4"/>
    <w:rsid w:val="001B7364"/>
    <w:rsid w:val="001D4506"/>
    <w:rsid w:val="001E4E6D"/>
    <w:rsid w:val="00215B74"/>
    <w:rsid w:val="00242D5D"/>
    <w:rsid w:val="002530AC"/>
    <w:rsid w:val="00254901"/>
    <w:rsid w:val="0026031F"/>
    <w:rsid w:val="00277DB3"/>
    <w:rsid w:val="002B3671"/>
    <w:rsid w:val="002B3767"/>
    <w:rsid w:val="002D3EC6"/>
    <w:rsid w:val="002E1187"/>
    <w:rsid w:val="003277A0"/>
    <w:rsid w:val="00391D17"/>
    <w:rsid w:val="003D0516"/>
    <w:rsid w:val="003E1E01"/>
    <w:rsid w:val="003F1540"/>
    <w:rsid w:val="00423D68"/>
    <w:rsid w:val="0047402D"/>
    <w:rsid w:val="004B7F49"/>
    <w:rsid w:val="004D6498"/>
    <w:rsid w:val="00525668"/>
    <w:rsid w:val="005614D7"/>
    <w:rsid w:val="005A237D"/>
    <w:rsid w:val="005C0E8E"/>
    <w:rsid w:val="005C2360"/>
    <w:rsid w:val="005E5512"/>
    <w:rsid w:val="005F4914"/>
    <w:rsid w:val="005F5BDC"/>
    <w:rsid w:val="006002CD"/>
    <w:rsid w:val="00602AC0"/>
    <w:rsid w:val="00605506"/>
    <w:rsid w:val="006069C3"/>
    <w:rsid w:val="00625030"/>
    <w:rsid w:val="006529D5"/>
    <w:rsid w:val="00675BFE"/>
    <w:rsid w:val="00694B84"/>
    <w:rsid w:val="006A23CC"/>
    <w:rsid w:val="006D4724"/>
    <w:rsid w:val="006F0320"/>
    <w:rsid w:val="007135B0"/>
    <w:rsid w:val="00786AA9"/>
    <w:rsid w:val="00794AE6"/>
    <w:rsid w:val="007B3BEC"/>
    <w:rsid w:val="007C572D"/>
    <w:rsid w:val="007E5426"/>
    <w:rsid w:val="008807F5"/>
    <w:rsid w:val="00896543"/>
    <w:rsid w:val="00913D28"/>
    <w:rsid w:val="009471BF"/>
    <w:rsid w:val="00954AA4"/>
    <w:rsid w:val="00971DD7"/>
    <w:rsid w:val="009C4882"/>
    <w:rsid w:val="00A03287"/>
    <w:rsid w:val="00A66C1C"/>
    <w:rsid w:val="00A71ECD"/>
    <w:rsid w:val="00A81FC1"/>
    <w:rsid w:val="00A91809"/>
    <w:rsid w:val="00AE34FC"/>
    <w:rsid w:val="00AF0407"/>
    <w:rsid w:val="00B02F14"/>
    <w:rsid w:val="00B26544"/>
    <w:rsid w:val="00B50D8A"/>
    <w:rsid w:val="00B51BFC"/>
    <w:rsid w:val="00BE686E"/>
    <w:rsid w:val="00BF0328"/>
    <w:rsid w:val="00C330FE"/>
    <w:rsid w:val="00C47CB6"/>
    <w:rsid w:val="00C563A7"/>
    <w:rsid w:val="00C733A9"/>
    <w:rsid w:val="00C76E2D"/>
    <w:rsid w:val="00CA3CA6"/>
    <w:rsid w:val="00CA49F2"/>
    <w:rsid w:val="00CA7895"/>
    <w:rsid w:val="00CD2495"/>
    <w:rsid w:val="00D01150"/>
    <w:rsid w:val="00D14013"/>
    <w:rsid w:val="00D32937"/>
    <w:rsid w:val="00D4293C"/>
    <w:rsid w:val="00D83AF2"/>
    <w:rsid w:val="00E0270C"/>
    <w:rsid w:val="00E43190"/>
    <w:rsid w:val="00E82888"/>
    <w:rsid w:val="00E87857"/>
    <w:rsid w:val="00EA6152"/>
    <w:rsid w:val="00F07CCB"/>
    <w:rsid w:val="00F212A3"/>
    <w:rsid w:val="00F25FFD"/>
    <w:rsid w:val="00F802E1"/>
    <w:rsid w:val="00F9464C"/>
    <w:rsid w:val="00FD58AF"/>
    <w:rsid w:val="00F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CD19"/>
  <w15:chartTrackingRefBased/>
  <w15:docId w15:val="{5CEA89CB-48E3-4DC7-9547-23731F8A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7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0270C"/>
  </w:style>
  <w:style w:type="paragraph" w:styleId="a5">
    <w:name w:val="Normal (Web)"/>
    <w:basedOn w:val="a"/>
    <w:uiPriority w:val="99"/>
    <w:semiHidden/>
    <w:unhideWhenUsed/>
    <w:rsid w:val="001D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1D450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0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02C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172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5959</Words>
  <Characters>3397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Володимир Мина (HCJ-MONO0215 - v.myna)</cp:lastModifiedBy>
  <cp:revision>2</cp:revision>
  <cp:lastPrinted>2020-03-04T10:23:00Z</cp:lastPrinted>
  <dcterms:created xsi:type="dcterms:W3CDTF">2020-03-12T13:28:00Z</dcterms:created>
  <dcterms:modified xsi:type="dcterms:W3CDTF">2020-03-12T13:28:00Z</dcterms:modified>
</cp:coreProperties>
</file>