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CBF" w:rsidRDefault="00307CBF" w:rsidP="00307CBF">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14:anchorId="3734DFA8" wp14:editId="0274FD5D">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307CBF" w:rsidRDefault="00307CBF" w:rsidP="00307CBF">
      <w:pPr>
        <w:spacing w:after="60"/>
        <w:jc w:val="center"/>
        <w:rPr>
          <w:rFonts w:ascii="AcademyC" w:hAnsi="AcademyC"/>
          <w:b/>
          <w:color w:val="002060"/>
        </w:rPr>
      </w:pPr>
      <w:r>
        <w:rPr>
          <w:rFonts w:ascii="AcademyC" w:hAnsi="AcademyC"/>
          <w:b/>
          <w:color w:val="002060"/>
        </w:rPr>
        <w:t>ВИЩА  РАДА  ПРАВОСУДДЯ</w:t>
      </w:r>
    </w:p>
    <w:p w:rsidR="00307CBF" w:rsidRDefault="00307CBF" w:rsidP="00307CBF">
      <w:pPr>
        <w:spacing w:after="240"/>
        <w:jc w:val="center"/>
        <w:rPr>
          <w:rFonts w:ascii="AcademyC" w:hAnsi="AcademyC"/>
          <w:b/>
          <w:color w:val="002060"/>
        </w:rPr>
      </w:pPr>
      <w:r>
        <w:rPr>
          <w:rFonts w:ascii="AcademyC" w:hAnsi="AcademyC"/>
          <w:b/>
          <w:color w:val="002060"/>
        </w:rPr>
        <w:t>РІШЕННЯ</w:t>
      </w:r>
    </w:p>
    <w:tbl>
      <w:tblPr>
        <w:tblW w:w="12780" w:type="dxa"/>
        <w:tblInd w:w="-108" w:type="dxa"/>
        <w:tblLook w:val="04A0" w:firstRow="1" w:lastRow="0" w:firstColumn="1" w:lastColumn="0" w:noHBand="0" w:noVBand="1"/>
      </w:tblPr>
      <w:tblGrid>
        <w:gridCol w:w="108"/>
        <w:gridCol w:w="3369"/>
        <w:gridCol w:w="1167"/>
        <w:gridCol w:w="2376"/>
        <w:gridCol w:w="1701"/>
        <w:gridCol w:w="4059"/>
      </w:tblGrid>
      <w:tr w:rsidR="00307CBF" w:rsidTr="00307CBF">
        <w:trPr>
          <w:gridBefore w:val="1"/>
          <w:wBefore w:w="108" w:type="dxa"/>
          <w:trHeight w:val="188"/>
        </w:trPr>
        <w:tc>
          <w:tcPr>
            <w:tcW w:w="3369" w:type="dxa"/>
            <w:hideMark/>
          </w:tcPr>
          <w:p w:rsidR="00307CBF" w:rsidRDefault="00307CBF" w:rsidP="00FE49E9">
            <w:pPr>
              <w:ind w:right="-2"/>
              <w:rPr>
                <w:b/>
                <w:noProof/>
                <w:color w:val="000000"/>
                <w:sz w:val="27"/>
                <w:szCs w:val="27"/>
              </w:rPr>
            </w:pPr>
          </w:p>
          <w:p w:rsidR="00307CBF" w:rsidRPr="00145AA1" w:rsidRDefault="00291C12" w:rsidP="00291C12">
            <w:pPr>
              <w:ind w:left="-105" w:right="-2"/>
              <w:rPr>
                <w:b/>
                <w:noProof/>
                <w:color w:val="000000"/>
                <w:sz w:val="27"/>
                <w:szCs w:val="27"/>
              </w:rPr>
            </w:pPr>
            <w:r>
              <w:rPr>
                <w:b/>
                <w:noProof/>
                <w:color w:val="000000"/>
                <w:sz w:val="27"/>
                <w:szCs w:val="27"/>
              </w:rPr>
              <w:t>12</w:t>
            </w:r>
            <w:r w:rsidR="00307CBF">
              <w:rPr>
                <w:b/>
                <w:noProof/>
                <w:color w:val="000000"/>
                <w:sz w:val="27"/>
                <w:szCs w:val="27"/>
              </w:rPr>
              <w:t xml:space="preserve"> березня 2020</w:t>
            </w:r>
            <w:r w:rsidR="00307CBF" w:rsidRPr="00145AA1">
              <w:rPr>
                <w:b/>
                <w:noProof/>
                <w:color w:val="000000"/>
                <w:sz w:val="27"/>
                <w:szCs w:val="27"/>
              </w:rPr>
              <w:t xml:space="preserve"> року </w:t>
            </w:r>
          </w:p>
        </w:tc>
        <w:tc>
          <w:tcPr>
            <w:tcW w:w="3543" w:type="dxa"/>
            <w:gridSpan w:val="2"/>
            <w:hideMark/>
          </w:tcPr>
          <w:p w:rsidR="00307CBF" w:rsidRPr="00145AA1" w:rsidRDefault="00307CBF" w:rsidP="00FE49E9">
            <w:pPr>
              <w:ind w:right="-2" w:hanging="109"/>
              <w:jc w:val="center"/>
              <w:rPr>
                <w:b/>
                <w:noProof/>
                <w:color w:val="000000"/>
                <w:sz w:val="27"/>
                <w:szCs w:val="27"/>
              </w:rPr>
            </w:pPr>
            <w:r w:rsidRPr="00145AA1">
              <w:rPr>
                <w:b/>
                <w:color w:val="000000"/>
                <w:sz w:val="27"/>
                <w:szCs w:val="27"/>
              </w:rPr>
              <w:t>Київ</w:t>
            </w:r>
          </w:p>
        </w:tc>
        <w:tc>
          <w:tcPr>
            <w:tcW w:w="5760" w:type="dxa"/>
            <w:gridSpan w:val="2"/>
            <w:hideMark/>
          </w:tcPr>
          <w:p w:rsidR="00307CBF" w:rsidRDefault="00307CBF" w:rsidP="00FE49E9">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307CBF" w:rsidRPr="00145AA1" w:rsidRDefault="00307CBF" w:rsidP="00FE49E9">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sidR="00291C12">
              <w:rPr>
                <w:b/>
                <w:szCs w:val="28"/>
              </w:rPr>
              <w:t>744</w:t>
            </w:r>
            <w:r>
              <w:rPr>
                <w:b/>
                <w:szCs w:val="28"/>
              </w:rPr>
              <w:t>/0/15-20</w:t>
            </w:r>
            <w:r>
              <w:rPr>
                <w:szCs w:val="28"/>
              </w:rPr>
              <w:t xml:space="preserve"> </w:t>
            </w:r>
            <w:r w:rsidRPr="00C85FE9">
              <w:rPr>
                <w:szCs w:val="28"/>
              </w:rPr>
              <w:t xml:space="preserve"> </w:t>
            </w:r>
          </w:p>
        </w:tc>
      </w:tr>
      <w:tr w:rsidR="00307CBF" w:rsidRPr="00307CBF" w:rsidTr="00307CBF">
        <w:trPr>
          <w:gridAfter w:val="1"/>
          <w:wAfter w:w="4059" w:type="dxa"/>
        </w:trPr>
        <w:tc>
          <w:tcPr>
            <w:tcW w:w="4644" w:type="dxa"/>
            <w:gridSpan w:val="3"/>
            <w:hideMark/>
          </w:tcPr>
          <w:p w:rsidR="00307CBF" w:rsidRPr="00307CBF" w:rsidRDefault="00307CBF" w:rsidP="00307CBF">
            <w:pPr>
              <w:widowControl w:val="0"/>
              <w:suppressAutoHyphens/>
              <w:spacing w:after="0" w:line="240" w:lineRule="auto"/>
              <w:ind w:right="-290"/>
              <w:rPr>
                <w:rFonts w:eastAsia="Lucida Sans Unicode" w:cs="Times New Roman"/>
                <w:b/>
                <w:kern w:val="2"/>
                <w:sz w:val="24"/>
                <w:szCs w:val="24"/>
                <w:lang w:eastAsia="hi-IN" w:bidi="hi-IN"/>
              </w:rPr>
            </w:pPr>
            <w:r w:rsidRPr="00307CBF">
              <w:rPr>
                <w:rFonts w:eastAsia="Lucida Sans Unicode" w:cs="Times New Roman"/>
                <w:b/>
                <w:kern w:val="2"/>
                <w:sz w:val="24"/>
                <w:szCs w:val="24"/>
                <w:lang w:val="ru-RU" w:eastAsia="hi-IN" w:bidi="hi-IN"/>
              </w:rPr>
              <w:t xml:space="preserve">Про </w:t>
            </w:r>
            <w:proofErr w:type="spellStart"/>
            <w:r w:rsidRPr="00307CBF">
              <w:rPr>
                <w:rFonts w:eastAsia="Lucida Sans Unicode" w:cs="Times New Roman"/>
                <w:b/>
                <w:kern w:val="2"/>
                <w:sz w:val="24"/>
                <w:szCs w:val="24"/>
                <w:lang w:val="ru-RU" w:eastAsia="hi-IN" w:bidi="hi-IN"/>
              </w:rPr>
              <w:t>надання</w:t>
            </w:r>
            <w:proofErr w:type="spellEnd"/>
            <w:r w:rsidRPr="00307CBF">
              <w:rPr>
                <w:rFonts w:eastAsia="Lucida Sans Unicode" w:cs="Times New Roman"/>
                <w:b/>
                <w:kern w:val="2"/>
                <w:sz w:val="24"/>
                <w:szCs w:val="24"/>
                <w:lang w:val="ru-RU" w:eastAsia="hi-IN" w:bidi="hi-IN"/>
              </w:rPr>
              <w:t xml:space="preserve"> консультативного </w:t>
            </w:r>
            <w:proofErr w:type="spellStart"/>
            <w:r w:rsidRPr="00307CBF">
              <w:rPr>
                <w:rFonts w:eastAsia="Lucida Sans Unicode" w:cs="Times New Roman"/>
                <w:b/>
                <w:kern w:val="2"/>
                <w:sz w:val="24"/>
                <w:szCs w:val="24"/>
                <w:lang w:val="ru-RU" w:eastAsia="hi-IN" w:bidi="hi-IN"/>
              </w:rPr>
              <w:t>висновку</w:t>
            </w:r>
            <w:proofErr w:type="spellEnd"/>
            <w:r w:rsidRPr="00307CBF">
              <w:rPr>
                <w:rFonts w:eastAsia="Lucida Sans Unicode" w:cs="Times New Roman"/>
                <w:b/>
                <w:kern w:val="2"/>
                <w:sz w:val="24"/>
                <w:szCs w:val="24"/>
                <w:lang w:val="ru-RU" w:eastAsia="hi-IN" w:bidi="hi-IN"/>
              </w:rPr>
              <w:t xml:space="preserve"> до законопроекту №</w:t>
            </w:r>
            <w:r w:rsidRPr="00307CBF">
              <w:rPr>
                <w:rFonts w:eastAsia="Lucida Sans Unicode" w:cs="Times New Roman"/>
                <w:b/>
                <w:kern w:val="2"/>
                <w:sz w:val="24"/>
                <w:szCs w:val="24"/>
                <w:lang w:eastAsia="hi-IN" w:bidi="hi-IN"/>
              </w:rPr>
              <w:t xml:space="preserve"> 2823</w:t>
            </w:r>
          </w:p>
        </w:tc>
        <w:tc>
          <w:tcPr>
            <w:tcW w:w="4077" w:type="dxa"/>
            <w:gridSpan w:val="2"/>
          </w:tcPr>
          <w:p w:rsidR="00307CBF" w:rsidRPr="00307CBF" w:rsidRDefault="00307CBF" w:rsidP="00307CBF">
            <w:pPr>
              <w:widowControl w:val="0"/>
              <w:suppressAutoHyphens/>
              <w:spacing w:after="0" w:line="240" w:lineRule="auto"/>
              <w:rPr>
                <w:rFonts w:eastAsia="Lucida Sans Unicode" w:cs="Times New Roman"/>
                <w:kern w:val="2"/>
                <w:sz w:val="24"/>
                <w:szCs w:val="24"/>
                <w:lang w:val="ru-RU" w:eastAsia="hi-IN" w:bidi="hi-IN"/>
              </w:rPr>
            </w:pPr>
          </w:p>
        </w:tc>
      </w:tr>
    </w:tbl>
    <w:p w:rsidR="00307CBF" w:rsidRPr="00307CBF" w:rsidRDefault="00307CBF" w:rsidP="00307CBF">
      <w:pPr>
        <w:widowControl w:val="0"/>
        <w:suppressAutoHyphens/>
        <w:spacing w:after="0" w:line="240" w:lineRule="auto"/>
        <w:rPr>
          <w:rFonts w:eastAsia="Lucida Sans Unicode" w:cs="Times New Roman"/>
          <w:kern w:val="2"/>
          <w:szCs w:val="28"/>
          <w:lang w:val="ru-RU" w:eastAsia="hi-IN" w:bidi="hi-IN"/>
        </w:rPr>
      </w:pPr>
    </w:p>
    <w:p w:rsidR="00307CBF" w:rsidRPr="00307CBF" w:rsidRDefault="00307CBF" w:rsidP="00307CBF">
      <w:pPr>
        <w:widowControl w:val="0"/>
        <w:suppressAutoHyphens/>
        <w:spacing w:after="0" w:line="240" w:lineRule="auto"/>
        <w:rPr>
          <w:rFonts w:eastAsia="Lucida Sans Unicode" w:cs="Times New Roman"/>
          <w:kern w:val="2"/>
          <w:szCs w:val="28"/>
          <w:lang w:val="ru-RU" w:eastAsia="hi-IN" w:bidi="hi-IN"/>
        </w:rPr>
      </w:pPr>
    </w:p>
    <w:p w:rsidR="00307CBF" w:rsidRPr="00307CBF" w:rsidRDefault="00307CBF" w:rsidP="00307CBF">
      <w:pPr>
        <w:widowControl w:val="0"/>
        <w:tabs>
          <w:tab w:val="left" w:pos="0"/>
        </w:tabs>
        <w:suppressAutoHyphens/>
        <w:autoSpaceDE w:val="0"/>
        <w:autoSpaceDN w:val="0"/>
        <w:adjustRightInd w:val="0"/>
        <w:spacing w:after="0" w:line="240" w:lineRule="auto"/>
        <w:ind w:firstLine="567"/>
        <w:contextualSpacing/>
        <w:jc w:val="both"/>
        <w:rPr>
          <w:rFonts w:eastAsia="Lucida Sans Unicode" w:cs="Times New Roman"/>
          <w:iCs/>
          <w:kern w:val="2"/>
          <w:szCs w:val="28"/>
          <w:lang w:val="ru-RU" w:eastAsia="hi-IN" w:bidi="hi-IN"/>
        </w:rPr>
      </w:pPr>
      <w:proofErr w:type="spellStart"/>
      <w:r w:rsidRPr="00307CBF">
        <w:rPr>
          <w:rFonts w:eastAsia="Lucida Sans Unicode" w:cs="Times New Roman"/>
          <w:kern w:val="2"/>
          <w:szCs w:val="28"/>
          <w:lang w:val="ru-RU" w:eastAsia="hi-IN" w:bidi="hi-IN"/>
        </w:rPr>
        <w:t>Вища</w:t>
      </w:r>
      <w:proofErr w:type="spellEnd"/>
      <w:r w:rsidRPr="00307CBF">
        <w:rPr>
          <w:rFonts w:eastAsia="Lucida Sans Unicode" w:cs="Times New Roman"/>
          <w:kern w:val="2"/>
          <w:szCs w:val="28"/>
          <w:lang w:val="ru-RU" w:eastAsia="hi-IN" w:bidi="hi-IN"/>
        </w:rPr>
        <w:t xml:space="preserve"> рада </w:t>
      </w:r>
      <w:proofErr w:type="spellStart"/>
      <w:r w:rsidRPr="00307CBF">
        <w:rPr>
          <w:rFonts w:eastAsia="Lucida Sans Unicode" w:cs="Times New Roman"/>
          <w:kern w:val="2"/>
          <w:szCs w:val="28"/>
          <w:lang w:val="ru-RU" w:eastAsia="hi-IN" w:bidi="hi-IN"/>
        </w:rPr>
        <w:t>правосуддя</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розглянула</w:t>
      </w:r>
      <w:proofErr w:type="spellEnd"/>
      <w:r w:rsidRPr="00307CBF">
        <w:rPr>
          <w:rFonts w:eastAsia="Lucida Sans Unicode" w:cs="Times New Roman"/>
          <w:kern w:val="2"/>
          <w:szCs w:val="28"/>
          <w:lang w:val="ru-RU" w:eastAsia="hi-IN" w:bidi="hi-IN"/>
        </w:rPr>
        <w:t xml:space="preserve"> проект Закону </w:t>
      </w:r>
      <w:proofErr w:type="spellStart"/>
      <w:r w:rsidRPr="00307CBF">
        <w:rPr>
          <w:rFonts w:eastAsia="Lucida Sans Unicode" w:cs="Times New Roman"/>
          <w:kern w:val="2"/>
          <w:szCs w:val="28"/>
          <w:lang w:val="ru-RU" w:eastAsia="hi-IN" w:bidi="hi-IN"/>
        </w:rPr>
        <w:t>України</w:t>
      </w:r>
      <w:proofErr w:type="spellEnd"/>
      <w:r w:rsidRPr="00307CBF">
        <w:rPr>
          <w:rFonts w:eastAsia="Lucida Sans Unicode" w:cs="Times New Roman"/>
          <w:kern w:val="2"/>
          <w:szCs w:val="28"/>
          <w:lang w:val="ru-RU" w:eastAsia="hi-IN" w:bidi="hi-IN"/>
        </w:rPr>
        <w:t xml:space="preserve"> </w:t>
      </w:r>
      <w:r w:rsidRPr="00307CBF">
        <w:rPr>
          <w:rFonts w:eastAsia="Lucida Sans Unicode" w:cs="Times New Roman"/>
          <w:kern w:val="2"/>
          <w:szCs w:val="28"/>
          <w:lang w:val="ru-RU" w:eastAsia="en-GB" w:bidi="hi-IN"/>
        </w:rPr>
        <w:t xml:space="preserve">«Про </w:t>
      </w:r>
      <w:proofErr w:type="spellStart"/>
      <w:r w:rsidRPr="00307CBF">
        <w:rPr>
          <w:rFonts w:eastAsia="Lucida Sans Unicode" w:cs="Times New Roman"/>
          <w:kern w:val="2"/>
          <w:szCs w:val="28"/>
          <w:lang w:val="ru-RU" w:eastAsia="en-GB" w:bidi="hi-IN"/>
        </w:rPr>
        <w:t>внесення</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змін</w:t>
      </w:r>
      <w:proofErr w:type="spellEnd"/>
      <w:r w:rsidRPr="00307CBF">
        <w:rPr>
          <w:rFonts w:eastAsia="Lucida Sans Unicode" w:cs="Times New Roman"/>
          <w:kern w:val="2"/>
          <w:szCs w:val="28"/>
          <w:lang w:val="ru-RU" w:eastAsia="en-GB" w:bidi="hi-IN"/>
        </w:rPr>
        <w:t xml:space="preserve"> до Закону </w:t>
      </w:r>
      <w:proofErr w:type="spellStart"/>
      <w:r w:rsidRPr="00307CBF">
        <w:rPr>
          <w:rFonts w:eastAsia="Lucida Sans Unicode" w:cs="Times New Roman"/>
          <w:kern w:val="2"/>
          <w:szCs w:val="28"/>
          <w:lang w:val="ru-RU" w:eastAsia="en-GB" w:bidi="hi-IN"/>
        </w:rPr>
        <w:t>України</w:t>
      </w:r>
      <w:proofErr w:type="spellEnd"/>
      <w:r w:rsidRPr="00307CBF">
        <w:rPr>
          <w:rFonts w:eastAsia="Lucida Sans Unicode" w:cs="Times New Roman"/>
          <w:kern w:val="2"/>
          <w:szCs w:val="28"/>
          <w:lang w:val="ru-RU" w:eastAsia="en-GB" w:bidi="hi-IN"/>
        </w:rPr>
        <w:t xml:space="preserve"> «Про </w:t>
      </w:r>
      <w:proofErr w:type="spellStart"/>
      <w:r w:rsidRPr="00307CBF">
        <w:rPr>
          <w:rFonts w:eastAsia="Lucida Sans Unicode" w:cs="Times New Roman"/>
          <w:kern w:val="2"/>
          <w:szCs w:val="28"/>
          <w:lang w:val="ru-RU" w:eastAsia="en-GB" w:bidi="hi-IN"/>
        </w:rPr>
        <w:t>судоустрій</w:t>
      </w:r>
      <w:proofErr w:type="spellEnd"/>
      <w:r w:rsidRPr="00307CBF">
        <w:rPr>
          <w:rFonts w:eastAsia="Lucida Sans Unicode" w:cs="Times New Roman"/>
          <w:kern w:val="2"/>
          <w:szCs w:val="28"/>
          <w:lang w:val="ru-RU" w:eastAsia="en-GB" w:bidi="hi-IN"/>
        </w:rPr>
        <w:t xml:space="preserve"> і статус </w:t>
      </w:r>
      <w:proofErr w:type="spellStart"/>
      <w:r w:rsidRPr="00307CBF">
        <w:rPr>
          <w:rFonts w:eastAsia="Lucida Sans Unicode" w:cs="Times New Roman"/>
          <w:kern w:val="2"/>
          <w:szCs w:val="28"/>
          <w:lang w:val="ru-RU" w:eastAsia="en-GB" w:bidi="hi-IN"/>
        </w:rPr>
        <w:t>суддів</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щодо</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відрядження</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суддів</w:t>
      </w:r>
      <w:proofErr w:type="spellEnd"/>
      <w:r w:rsidRPr="00307CBF">
        <w:rPr>
          <w:rFonts w:eastAsia="Lucida Sans Unicode" w:cs="Times New Roman"/>
          <w:kern w:val="2"/>
          <w:szCs w:val="28"/>
          <w:lang w:val="ru-RU" w:eastAsia="en-GB" w:bidi="hi-IN"/>
        </w:rPr>
        <w:t xml:space="preserve"> </w:t>
      </w:r>
      <w:proofErr w:type="gramStart"/>
      <w:r w:rsidRPr="00307CBF">
        <w:rPr>
          <w:rFonts w:eastAsia="Lucida Sans Unicode" w:cs="Times New Roman"/>
          <w:kern w:val="2"/>
          <w:szCs w:val="28"/>
          <w:lang w:val="ru-RU" w:eastAsia="en-GB" w:bidi="hi-IN"/>
        </w:rPr>
        <w:t>в порядку</w:t>
      </w:r>
      <w:proofErr w:type="gram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тимчасового</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переведення</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судді</w:t>
      </w:r>
      <w:proofErr w:type="spellEnd"/>
      <w:r w:rsidRPr="00307CBF">
        <w:rPr>
          <w:rFonts w:eastAsia="Lucida Sans Unicode" w:cs="Times New Roman"/>
          <w:kern w:val="2"/>
          <w:szCs w:val="28"/>
          <w:lang w:val="ru-RU" w:eastAsia="en-GB" w:bidi="hi-IN"/>
        </w:rPr>
        <w:t xml:space="preserve"> до </w:t>
      </w:r>
      <w:proofErr w:type="spellStart"/>
      <w:r w:rsidRPr="00307CBF">
        <w:rPr>
          <w:rFonts w:eastAsia="Lucida Sans Unicode" w:cs="Times New Roman"/>
          <w:kern w:val="2"/>
          <w:szCs w:val="28"/>
          <w:lang w:val="ru-RU" w:eastAsia="en-GB" w:bidi="hi-IN"/>
        </w:rPr>
        <w:t>іншого</w:t>
      </w:r>
      <w:proofErr w:type="spellEnd"/>
      <w:r w:rsidRPr="00307CBF">
        <w:rPr>
          <w:rFonts w:eastAsia="Lucida Sans Unicode" w:cs="Times New Roman"/>
          <w:kern w:val="2"/>
          <w:szCs w:val="28"/>
          <w:lang w:val="ru-RU" w:eastAsia="en-GB" w:bidi="hi-IN"/>
        </w:rPr>
        <w:t xml:space="preserve"> суду» (</w:t>
      </w:r>
      <w:proofErr w:type="spellStart"/>
      <w:r w:rsidRPr="00307CBF">
        <w:rPr>
          <w:rFonts w:eastAsia="Lucida Sans Unicode" w:cs="Times New Roman"/>
          <w:kern w:val="2"/>
          <w:szCs w:val="28"/>
          <w:lang w:val="ru-RU" w:eastAsia="hi-IN" w:bidi="hi-IN"/>
        </w:rPr>
        <w:t>реєстраційний</w:t>
      </w:r>
      <w:proofErr w:type="spellEnd"/>
      <w:r w:rsidRPr="00307CBF">
        <w:rPr>
          <w:rFonts w:eastAsia="Lucida Sans Unicode" w:cs="Times New Roman"/>
          <w:kern w:val="2"/>
          <w:szCs w:val="28"/>
          <w:lang w:val="ru-RU" w:eastAsia="hi-IN" w:bidi="hi-IN"/>
        </w:rPr>
        <w:t xml:space="preserve"> </w:t>
      </w:r>
      <w:r w:rsidR="00137192">
        <w:rPr>
          <w:rFonts w:eastAsia="Lucida Sans Unicode" w:cs="Times New Roman"/>
          <w:kern w:val="2"/>
          <w:szCs w:val="28"/>
          <w:lang w:val="ru-RU" w:eastAsia="hi-IN" w:bidi="hi-IN"/>
        </w:rPr>
        <w:t xml:space="preserve">            </w:t>
      </w:r>
      <w:r w:rsidRPr="00307CBF">
        <w:rPr>
          <w:rFonts w:eastAsia="Lucida Sans Unicode" w:cs="Times New Roman"/>
          <w:kern w:val="2"/>
          <w:szCs w:val="28"/>
          <w:lang w:val="ru-RU" w:eastAsia="hi-IN" w:bidi="hi-IN"/>
        </w:rPr>
        <w:t xml:space="preserve">№ 2823 </w:t>
      </w:r>
      <w:proofErr w:type="spellStart"/>
      <w:r w:rsidRPr="00307CBF">
        <w:rPr>
          <w:rFonts w:eastAsia="Lucida Sans Unicode" w:cs="Times New Roman"/>
          <w:kern w:val="2"/>
          <w:szCs w:val="28"/>
          <w:lang w:val="ru-RU" w:eastAsia="hi-IN" w:bidi="hi-IN"/>
        </w:rPr>
        <w:t>від</w:t>
      </w:r>
      <w:proofErr w:type="spellEnd"/>
      <w:r w:rsidRPr="00307CBF">
        <w:rPr>
          <w:rFonts w:eastAsia="Lucida Sans Unicode" w:cs="Times New Roman"/>
          <w:kern w:val="2"/>
          <w:szCs w:val="28"/>
          <w:lang w:val="ru-RU" w:eastAsia="hi-IN" w:bidi="hi-IN"/>
        </w:rPr>
        <w:t xml:space="preserve"> 30 </w:t>
      </w:r>
      <w:proofErr w:type="spellStart"/>
      <w:r w:rsidRPr="00307CBF">
        <w:rPr>
          <w:rFonts w:eastAsia="Lucida Sans Unicode" w:cs="Times New Roman"/>
          <w:kern w:val="2"/>
          <w:szCs w:val="28"/>
          <w:lang w:val="ru-RU" w:eastAsia="hi-IN" w:bidi="hi-IN"/>
        </w:rPr>
        <w:t>січня</w:t>
      </w:r>
      <w:proofErr w:type="spellEnd"/>
      <w:r w:rsidRPr="00307CBF">
        <w:rPr>
          <w:rFonts w:eastAsia="Lucida Sans Unicode" w:cs="Times New Roman"/>
          <w:kern w:val="2"/>
          <w:szCs w:val="28"/>
          <w:lang w:val="ru-RU" w:eastAsia="hi-IN" w:bidi="hi-IN"/>
        </w:rPr>
        <w:t xml:space="preserve"> 2020 року</w:t>
      </w:r>
      <w:r w:rsidRPr="00307CBF">
        <w:rPr>
          <w:rFonts w:eastAsia="Lucida Sans Unicode" w:cs="Times New Roman"/>
          <w:kern w:val="2"/>
          <w:szCs w:val="28"/>
          <w:lang w:val="ru-RU" w:eastAsia="en-GB" w:bidi="hi-IN"/>
        </w:rPr>
        <w:t>), внесений</w:t>
      </w:r>
      <w:r w:rsidRPr="00307CBF">
        <w:rPr>
          <w:rFonts w:eastAsia="Lucida Sans Unicode" w:cs="Times New Roman"/>
          <w:kern w:val="2"/>
          <w:szCs w:val="28"/>
          <w:lang w:val="ru-RU" w:eastAsia="hi-IN" w:bidi="hi-IN"/>
        </w:rPr>
        <w:t xml:space="preserve"> </w:t>
      </w:r>
      <w:r w:rsidRPr="00307CBF">
        <w:rPr>
          <w:rFonts w:eastAsia="Lucida Sans Unicode" w:cs="Times New Roman"/>
          <w:kern w:val="2"/>
          <w:szCs w:val="28"/>
          <w:lang w:val="ru-RU" w:eastAsia="en-GB" w:bidi="hi-IN"/>
        </w:rPr>
        <w:t xml:space="preserve">на </w:t>
      </w:r>
      <w:proofErr w:type="spellStart"/>
      <w:r w:rsidRPr="00307CBF">
        <w:rPr>
          <w:rFonts w:eastAsia="Lucida Sans Unicode" w:cs="Times New Roman"/>
          <w:kern w:val="2"/>
          <w:szCs w:val="28"/>
          <w:lang w:val="ru-RU" w:eastAsia="en-GB" w:bidi="hi-IN"/>
        </w:rPr>
        <w:t>розгляд</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Верховної</w:t>
      </w:r>
      <w:proofErr w:type="spellEnd"/>
      <w:r w:rsidRPr="00307CBF">
        <w:rPr>
          <w:rFonts w:eastAsia="Lucida Sans Unicode" w:cs="Times New Roman"/>
          <w:kern w:val="2"/>
          <w:szCs w:val="28"/>
          <w:lang w:val="ru-RU" w:eastAsia="en-GB" w:bidi="hi-IN"/>
        </w:rPr>
        <w:t xml:space="preserve"> Ради </w:t>
      </w:r>
      <w:proofErr w:type="spellStart"/>
      <w:r w:rsidRPr="00307CBF">
        <w:rPr>
          <w:rFonts w:eastAsia="Lucida Sans Unicode" w:cs="Times New Roman"/>
          <w:kern w:val="2"/>
          <w:szCs w:val="28"/>
          <w:lang w:val="ru-RU" w:eastAsia="en-GB" w:bidi="hi-IN"/>
        </w:rPr>
        <w:t>України</w:t>
      </w:r>
      <w:proofErr w:type="spellEnd"/>
      <w:r w:rsidRPr="00307CBF">
        <w:rPr>
          <w:rFonts w:eastAsia="Lucida Sans Unicode" w:cs="Times New Roman"/>
          <w:kern w:val="2"/>
          <w:szCs w:val="28"/>
          <w:lang w:val="ru-RU" w:eastAsia="en-GB" w:bidi="hi-IN"/>
        </w:rPr>
        <w:t xml:space="preserve"> у порядку </w:t>
      </w:r>
      <w:proofErr w:type="spellStart"/>
      <w:r w:rsidRPr="00307CBF">
        <w:rPr>
          <w:rFonts w:eastAsia="Lucida Sans Unicode" w:cs="Times New Roman"/>
          <w:kern w:val="2"/>
          <w:szCs w:val="28"/>
          <w:lang w:val="ru-RU" w:eastAsia="en-GB" w:bidi="hi-IN"/>
        </w:rPr>
        <w:t>законодавчої</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ініціативи</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hi-IN" w:bidi="hi-IN"/>
        </w:rPr>
        <w:t>народним</w:t>
      </w:r>
      <w:proofErr w:type="spellEnd"/>
      <w:r w:rsidRPr="00307CBF">
        <w:rPr>
          <w:rFonts w:eastAsia="Lucida Sans Unicode" w:cs="Times New Roman"/>
          <w:kern w:val="2"/>
          <w:szCs w:val="28"/>
          <w:lang w:val="ru-RU" w:eastAsia="hi-IN" w:bidi="hi-IN"/>
        </w:rPr>
        <w:t xml:space="preserve"> депутатом </w:t>
      </w:r>
      <w:proofErr w:type="spellStart"/>
      <w:r w:rsidRPr="00307CBF">
        <w:rPr>
          <w:rFonts w:eastAsia="Lucida Sans Unicode" w:cs="Times New Roman"/>
          <w:kern w:val="2"/>
          <w:szCs w:val="28"/>
          <w:lang w:val="ru-RU" w:eastAsia="hi-IN" w:bidi="hi-IN"/>
        </w:rPr>
        <w:t>України</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Бабієм</w:t>
      </w:r>
      <w:proofErr w:type="spellEnd"/>
      <w:r w:rsidRPr="00307CBF">
        <w:rPr>
          <w:rFonts w:eastAsia="Lucida Sans Unicode" w:cs="Times New Roman"/>
          <w:kern w:val="2"/>
          <w:szCs w:val="28"/>
          <w:lang w:val="ru-RU" w:eastAsia="hi-IN" w:bidi="hi-IN"/>
        </w:rPr>
        <w:t xml:space="preserve"> Р.В.</w:t>
      </w:r>
    </w:p>
    <w:p w:rsidR="00307CBF" w:rsidRPr="00307CBF" w:rsidRDefault="00307CBF" w:rsidP="00307CBF">
      <w:pPr>
        <w:widowControl w:val="0"/>
        <w:tabs>
          <w:tab w:val="left" w:pos="1134"/>
        </w:tabs>
        <w:spacing w:after="0" w:line="240" w:lineRule="auto"/>
        <w:ind w:firstLine="567"/>
        <w:jc w:val="both"/>
        <w:outlineLvl w:val="0"/>
        <w:rPr>
          <w:rFonts w:cs="Times New Roman"/>
          <w:szCs w:val="28"/>
        </w:rPr>
      </w:pPr>
      <w:r w:rsidRPr="00307CBF">
        <w:rPr>
          <w:rFonts w:cs="Times New Roman"/>
          <w:szCs w:val="28"/>
        </w:rPr>
        <w:t>Відповідно до пункту 15 частини першої статті 3 Закону України</w:t>
      </w:r>
      <w:r w:rsidR="00D527E7">
        <w:rPr>
          <w:rFonts w:cs="Times New Roman"/>
          <w:szCs w:val="28"/>
        </w:rPr>
        <w:t xml:space="preserve"> </w:t>
      </w:r>
      <w:r w:rsidRPr="00307CBF">
        <w:rPr>
          <w:rFonts w:cs="Times New Roman"/>
          <w:szCs w:val="28"/>
        </w:rPr>
        <w:t>«Про Вищу раду правосуддя» Вища рада правосуддя надає обов’язкові до розгляду консультативні висновки щодо законопроектів із питань утворення, реорганізації чи ліквідації судів, судоустрою і статусу суддів.</w:t>
      </w:r>
    </w:p>
    <w:p w:rsidR="00307CBF" w:rsidRPr="00307CBF" w:rsidRDefault="00307CBF" w:rsidP="00307CBF">
      <w:pPr>
        <w:widowControl w:val="0"/>
        <w:suppressAutoHyphens/>
        <w:spacing w:after="0" w:line="240" w:lineRule="auto"/>
        <w:ind w:firstLine="567"/>
        <w:jc w:val="both"/>
        <w:rPr>
          <w:rFonts w:eastAsia="Lucida Sans Unicode" w:cs="Times New Roman"/>
          <w:kern w:val="2"/>
          <w:szCs w:val="28"/>
          <w:lang w:val="ru-RU" w:eastAsia="hi-IN" w:bidi="hi-IN"/>
        </w:rPr>
      </w:pPr>
      <w:r w:rsidRPr="00307CBF">
        <w:rPr>
          <w:rFonts w:eastAsia="Lucida Sans Unicode" w:cs="Times New Roman"/>
          <w:kern w:val="2"/>
          <w:szCs w:val="28"/>
          <w:lang w:val="ru-RU" w:eastAsia="hi-IN" w:bidi="hi-IN"/>
        </w:rPr>
        <w:t xml:space="preserve">За результатами </w:t>
      </w:r>
      <w:proofErr w:type="spellStart"/>
      <w:r w:rsidRPr="00307CBF">
        <w:rPr>
          <w:rFonts w:eastAsia="Lucida Sans Unicode" w:cs="Times New Roman"/>
          <w:kern w:val="2"/>
          <w:szCs w:val="28"/>
          <w:lang w:val="ru-RU" w:eastAsia="hi-IN" w:bidi="hi-IN"/>
        </w:rPr>
        <w:t>розгляду</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вказаного</w:t>
      </w:r>
      <w:proofErr w:type="spellEnd"/>
      <w:r w:rsidRPr="00307CBF">
        <w:rPr>
          <w:rFonts w:eastAsia="Lucida Sans Unicode" w:cs="Times New Roman"/>
          <w:kern w:val="2"/>
          <w:szCs w:val="28"/>
          <w:lang w:val="ru-RU" w:eastAsia="hi-IN" w:bidi="hi-IN"/>
        </w:rPr>
        <w:t xml:space="preserve"> законопроекту, </w:t>
      </w:r>
      <w:proofErr w:type="spellStart"/>
      <w:r w:rsidRPr="00307CBF">
        <w:rPr>
          <w:rFonts w:eastAsia="Lucida Sans Unicode" w:cs="Times New Roman"/>
          <w:kern w:val="2"/>
          <w:szCs w:val="28"/>
          <w:lang w:val="ru-RU" w:eastAsia="hi-IN" w:bidi="hi-IN"/>
        </w:rPr>
        <w:t>керуючись</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статтею</w:t>
      </w:r>
      <w:proofErr w:type="spellEnd"/>
      <w:r w:rsidRPr="00307CBF">
        <w:rPr>
          <w:rFonts w:eastAsia="Lucida Sans Unicode" w:cs="Times New Roman"/>
          <w:kern w:val="2"/>
          <w:szCs w:val="28"/>
          <w:lang w:val="ru-RU" w:eastAsia="hi-IN" w:bidi="hi-IN"/>
        </w:rPr>
        <w:t xml:space="preserve"> 131 </w:t>
      </w:r>
      <w:proofErr w:type="spellStart"/>
      <w:r w:rsidRPr="00307CBF">
        <w:rPr>
          <w:rFonts w:eastAsia="Lucida Sans Unicode" w:cs="Times New Roman"/>
          <w:kern w:val="2"/>
          <w:szCs w:val="28"/>
          <w:lang w:val="ru-RU" w:eastAsia="hi-IN" w:bidi="hi-IN"/>
        </w:rPr>
        <w:t>Конституції</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України</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статтями</w:t>
      </w:r>
      <w:proofErr w:type="spellEnd"/>
      <w:r w:rsidRPr="00307CBF">
        <w:rPr>
          <w:rFonts w:eastAsia="Lucida Sans Unicode" w:cs="Times New Roman"/>
          <w:kern w:val="2"/>
          <w:szCs w:val="28"/>
          <w:lang w:val="ru-RU" w:eastAsia="hi-IN" w:bidi="hi-IN"/>
        </w:rPr>
        <w:t xml:space="preserve"> 3, 34 Закону </w:t>
      </w:r>
      <w:proofErr w:type="spellStart"/>
      <w:r w:rsidRPr="00307CBF">
        <w:rPr>
          <w:rFonts w:eastAsia="Lucida Sans Unicode" w:cs="Times New Roman"/>
          <w:kern w:val="2"/>
          <w:szCs w:val="28"/>
          <w:lang w:val="ru-RU" w:eastAsia="hi-IN" w:bidi="hi-IN"/>
        </w:rPr>
        <w:t>України</w:t>
      </w:r>
      <w:proofErr w:type="spellEnd"/>
      <w:r w:rsidRPr="00307CBF">
        <w:rPr>
          <w:rFonts w:eastAsia="Lucida Sans Unicode" w:cs="Times New Roman"/>
          <w:kern w:val="2"/>
          <w:szCs w:val="28"/>
          <w:lang w:val="ru-RU" w:eastAsia="hi-IN" w:bidi="hi-IN"/>
        </w:rPr>
        <w:t xml:space="preserve"> «Про </w:t>
      </w:r>
      <w:proofErr w:type="spellStart"/>
      <w:r w:rsidRPr="00307CBF">
        <w:rPr>
          <w:rFonts w:eastAsia="Lucida Sans Unicode" w:cs="Times New Roman"/>
          <w:kern w:val="2"/>
          <w:szCs w:val="28"/>
          <w:lang w:val="ru-RU" w:eastAsia="hi-IN" w:bidi="hi-IN"/>
        </w:rPr>
        <w:t>Вищу</w:t>
      </w:r>
      <w:proofErr w:type="spellEnd"/>
      <w:r w:rsidRPr="00307CBF">
        <w:rPr>
          <w:rFonts w:eastAsia="Lucida Sans Unicode" w:cs="Times New Roman"/>
          <w:kern w:val="2"/>
          <w:szCs w:val="28"/>
          <w:lang w:val="ru-RU" w:eastAsia="hi-IN" w:bidi="hi-IN"/>
        </w:rPr>
        <w:t xml:space="preserve"> раду </w:t>
      </w:r>
      <w:proofErr w:type="spellStart"/>
      <w:r w:rsidRPr="00307CBF">
        <w:rPr>
          <w:rFonts w:eastAsia="Lucida Sans Unicode" w:cs="Times New Roman"/>
          <w:kern w:val="2"/>
          <w:szCs w:val="28"/>
          <w:lang w:val="ru-RU" w:eastAsia="hi-IN" w:bidi="hi-IN"/>
        </w:rPr>
        <w:t>правосуддя</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Вища</w:t>
      </w:r>
      <w:proofErr w:type="spellEnd"/>
      <w:r w:rsidRPr="00307CBF">
        <w:rPr>
          <w:rFonts w:eastAsia="Lucida Sans Unicode" w:cs="Times New Roman"/>
          <w:kern w:val="2"/>
          <w:szCs w:val="28"/>
          <w:lang w:val="ru-RU" w:eastAsia="hi-IN" w:bidi="hi-IN"/>
        </w:rPr>
        <w:t xml:space="preserve"> рада </w:t>
      </w:r>
      <w:proofErr w:type="spellStart"/>
      <w:r w:rsidRPr="00307CBF">
        <w:rPr>
          <w:rFonts w:eastAsia="Lucida Sans Unicode" w:cs="Times New Roman"/>
          <w:kern w:val="2"/>
          <w:szCs w:val="28"/>
          <w:lang w:val="ru-RU" w:eastAsia="hi-IN" w:bidi="hi-IN"/>
        </w:rPr>
        <w:t>правосуддя</w:t>
      </w:r>
      <w:proofErr w:type="spellEnd"/>
      <w:r w:rsidRPr="00307CBF">
        <w:rPr>
          <w:rFonts w:eastAsia="Lucida Sans Unicode" w:cs="Times New Roman"/>
          <w:kern w:val="2"/>
          <w:szCs w:val="28"/>
          <w:lang w:val="ru-RU" w:eastAsia="hi-IN" w:bidi="hi-IN"/>
        </w:rPr>
        <w:t xml:space="preserve"> </w:t>
      </w:r>
    </w:p>
    <w:p w:rsidR="00307CBF" w:rsidRPr="00307CBF" w:rsidRDefault="00307CBF" w:rsidP="00307CBF">
      <w:pPr>
        <w:widowControl w:val="0"/>
        <w:suppressAutoHyphens/>
        <w:spacing w:after="0" w:line="240" w:lineRule="auto"/>
        <w:jc w:val="both"/>
        <w:rPr>
          <w:rFonts w:eastAsia="Lucida Sans Unicode" w:cs="Times New Roman"/>
          <w:kern w:val="2"/>
          <w:szCs w:val="28"/>
          <w:lang w:val="ru-RU" w:eastAsia="hi-IN" w:bidi="hi-IN"/>
        </w:rPr>
      </w:pPr>
    </w:p>
    <w:p w:rsidR="00307CBF" w:rsidRPr="00307CBF" w:rsidRDefault="00307CBF" w:rsidP="00307CBF">
      <w:pPr>
        <w:widowControl w:val="0"/>
        <w:suppressAutoHyphens/>
        <w:spacing w:after="0" w:line="240" w:lineRule="auto"/>
        <w:rPr>
          <w:rFonts w:eastAsia="Lucida Sans Unicode" w:cs="Times New Roman"/>
          <w:kern w:val="2"/>
          <w:szCs w:val="28"/>
          <w:lang w:val="ru-RU" w:eastAsia="hi-IN" w:bidi="hi-IN"/>
        </w:rPr>
      </w:pPr>
    </w:p>
    <w:p w:rsidR="00307CBF" w:rsidRPr="00307CBF" w:rsidRDefault="00307CBF" w:rsidP="00307CBF">
      <w:pPr>
        <w:widowControl w:val="0"/>
        <w:suppressAutoHyphens/>
        <w:spacing w:after="0" w:line="240" w:lineRule="auto"/>
        <w:jc w:val="center"/>
        <w:rPr>
          <w:rFonts w:eastAsia="Lucida Sans Unicode" w:cs="Times New Roman"/>
          <w:b/>
          <w:kern w:val="2"/>
          <w:szCs w:val="28"/>
          <w:lang w:val="ru-RU" w:eastAsia="hi-IN" w:bidi="hi-IN"/>
        </w:rPr>
      </w:pPr>
      <w:proofErr w:type="spellStart"/>
      <w:r w:rsidRPr="00307CBF">
        <w:rPr>
          <w:rFonts w:eastAsia="Lucida Sans Unicode" w:cs="Times New Roman"/>
          <w:b/>
          <w:kern w:val="2"/>
          <w:szCs w:val="28"/>
          <w:lang w:val="ru-RU" w:eastAsia="hi-IN" w:bidi="hi-IN"/>
        </w:rPr>
        <w:t>вирішила</w:t>
      </w:r>
      <w:proofErr w:type="spellEnd"/>
      <w:r w:rsidRPr="00307CBF">
        <w:rPr>
          <w:rFonts w:eastAsia="Lucida Sans Unicode" w:cs="Times New Roman"/>
          <w:b/>
          <w:kern w:val="2"/>
          <w:szCs w:val="28"/>
          <w:lang w:val="ru-RU" w:eastAsia="hi-IN" w:bidi="hi-IN"/>
        </w:rPr>
        <w:t>:</w:t>
      </w:r>
    </w:p>
    <w:p w:rsidR="00307CBF" w:rsidRPr="00307CBF" w:rsidRDefault="00307CBF" w:rsidP="00307CBF">
      <w:pPr>
        <w:widowControl w:val="0"/>
        <w:suppressAutoHyphens/>
        <w:spacing w:after="0" w:line="240" w:lineRule="auto"/>
        <w:rPr>
          <w:rFonts w:eastAsia="Lucida Sans Unicode" w:cs="Times New Roman"/>
          <w:kern w:val="2"/>
          <w:szCs w:val="28"/>
          <w:lang w:val="ru-RU" w:eastAsia="hi-IN" w:bidi="hi-IN"/>
        </w:rPr>
      </w:pPr>
    </w:p>
    <w:p w:rsidR="00307CBF" w:rsidRPr="00307CBF" w:rsidRDefault="00307CBF" w:rsidP="00307CBF">
      <w:pPr>
        <w:widowControl w:val="0"/>
        <w:tabs>
          <w:tab w:val="left" w:pos="0"/>
        </w:tabs>
        <w:suppressAutoHyphens/>
        <w:autoSpaceDE w:val="0"/>
        <w:autoSpaceDN w:val="0"/>
        <w:adjustRightInd w:val="0"/>
        <w:spacing w:after="0" w:line="240" w:lineRule="auto"/>
        <w:ind w:firstLine="567"/>
        <w:contextualSpacing/>
        <w:jc w:val="both"/>
        <w:rPr>
          <w:rFonts w:eastAsia="Lucida Sans Unicode" w:cs="Times New Roman"/>
          <w:iCs/>
          <w:kern w:val="2"/>
          <w:szCs w:val="28"/>
          <w:lang w:val="ru-RU" w:eastAsia="hi-IN" w:bidi="hi-IN"/>
        </w:rPr>
      </w:pPr>
      <w:r w:rsidRPr="00307CBF">
        <w:rPr>
          <w:rFonts w:eastAsia="Lucida Sans Unicode" w:cs="Times New Roman"/>
          <w:kern w:val="2"/>
          <w:szCs w:val="28"/>
          <w:lang w:val="ru-RU" w:eastAsia="hi-IN" w:bidi="hi-IN"/>
        </w:rPr>
        <w:t xml:space="preserve">1. </w:t>
      </w:r>
      <w:proofErr w:type="spellStart"/>
      <w:r w:rsidRPr="00307CBF">
        <w:rPr>
          <w:rFonts w:eastAsia="Lucida Sans Unicode" w:cs="Times New Roman"/>
          <w:kern w:val="2"/>
          <w:szCs w:val="28"/>
          <w:lang w:val="ru-RU" w:eastAsia="hi-IN" w:bidi="hi-IN"/>
        </w:rPr>
        <w:t>Затвердити</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консультативний</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висновок</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щодо</w:t>
      </w:r>
      <w:proofErr w:type="spellEnd"/>
      <w:r w:rsidRPr="00307CBF">
        <w:rPr>
          <w:rFonts w:eastAsia="Lucida Sans Unicode" w:cs="Times New Roman"/>
          <w:kern w:val="2"/>
          <w:szCs w:val="28"/>
          <w:lang w:val="ru-RU" w:eastAsia="hi-IN" w:bidi="hi-IN"/>
        </w:rPr>
        <w:t xml:space="preserve"> п</w:t>
      </w:r>
      <w:r w:rsidRPr="00307CBF">
        <w:rPr>
          <w:rFonts w:eastAsia="Lucida Sans Unicode" w:cs="Times New Roman"/>
          <w:bCs/>
          <w:kern w:val="2"/>
          <w:szCs w:val="28"/>
          <w:lang w:val="ru-RU" w:eastAsia="hi-IN" w:bidi="hi-IN"/>
        </w:rPr>
        <w:t xml:space="preserve">роекту </w:t>
      </w:r>
      <w:r w:rsidRPr="00307CBF">
        <w:rPr>
          <w:rFonts w:eastAsia="Lucida Sans Unicode" w:cs="Times New Roman"/>
          <w:kern w:val="2"/>
          <w:szCs w:val="28"/>
          <w:lang w:val="ru-RU" w:eastAsia="hi-IN" w:bidi="hi-IN"/>
        </w:rPr>
        <w:t xml:space="preserve">Закону </w:t>
      </w:r>
      <w:proofErr w:type="spellStart"/>
      <w:r w:rsidRPr="00307CBF">
        <w:rPr>
          <w:rFonts w:eastAsia="Lucida Sans Unicode" w:cs="Times New Roman"/>
          <w:kern w:val="2"/>
          <w:szCs w:val="28"/>
          <w:lang w:val="ru-RU" w:eastAsia="hi-IN" w:bidi="hi-IN"/>
        </w:rPr>
        <w:t>України</w:t>
      </w:r>
      <w:proofErr w:type="spellEnd"/>
      <w:r w:rsidRPr="00307CBF">
        <w:rPr>
          <w:rFonts w:eastAsia="Lucida Sans Unicode" w:cs="Times New Roman"/>
          <w:kern w:val="2"/>
          <w:szCs w:val="28"/>
          <w:lang w:val="ru-RU" w:eastAsia="hi-IN" w:bidi="hi-IN"/>
        </w:rPr>
        <w:t xml:space="preserve"> </w:t>
      </w:r>
      <w:r w:rsidRPr="00307CBF">
        <w:rPr>
          <w:rFonts w:eastAsia="Lucida Sans Unicode" w:cs="Times New Roman"/>
          <w:kern w:val="2"/>
          <w:szCs w:val="28"/>
          <w:lang w:val="ru-RU" w:eastAsia="en-GB" w:bidi="hi-IN"/>
        </w:rPr>
        <w:t xml:space="preserve">«Про </w:t>
      </w:r>
      <w:proofErr w:type="spellStart"/>
      <w:r w:rsidRPr="00307CBF">
        <w:rPr>
          <w:rFonts w:eastAsia="Lucida Sans Unicode" w:cs="Times New Roman"/>
          <w:kern w:val="2"/>
          <w:szCs w:val="28"/>
          <w:lang w:val="ru-RU" w:eastAsia="en-GB" w:bidi="hi-IN"/>
        </w:rPr>
        <w:t>внесення</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змін</w:t>
      </w:r>
      <w:proofErr w:type="spellEnd"/>
      <w:r w:rsidRPr="00307CBF">
        <w:rPr>
          <w:rFonts w:eastAsia="Lucida Sans Unicode" w:cs="Times New Roman"/>
          <w:kern w:val="2"/>
          <w:szCs w:val="28"/>
          <w:lang w:val="ru-RU" w:eastAsia="en-GB" w:bidi="hi-IN"/>
        </w:rPr>
        <w:t xml:space="preserve"> до Закону </w:t>
      </w:r>
      <w:proofErr w:type="spellStart"/>
      <w:r w:rsidRPr="00307CBF">
        <w:rPr>
          <w:rFonts w:eastAsia="Lucida Sans Unicode" w:cs="Times New Roman"/>
          <w:kern w:val="2"/>
          <w:szCs w:val="28"/>
          <w:lang w:val="ru-RU" w:eastAsia="en-GB" w:bidi="hi-IN"/>
        </w:rPr>
        <w:t>України</w:t>
      </w:r>
      <w:proofErr w:type="spellEnd"/>
      <w:r w:rsidRPr="00307CBF">
        <w:rPr>
          <w:rFonts w:eastAsia="Lucida Sans Unicode" w:cs="Times New Roman"/>
          <w:kern w:val="2"/>
          <w:szCs w:val="28"/>
          <w:lang w:val="ru-RU" w:eastAsia="en-GB" w:bidi="hi-IN"/>
        </w:rPr>
        <w:t xml:space="preserve"> «Про </w:t>
      </w:r>
      <w:proofErr w:type="spellStart"/>
      <w:r w:rsidRPr="00307CBF">
        <w:rPr>
          <w:rFonts w:eastAsia="Lucida Sans Unicode" w:cs="Times New Roman"/>
          <w:kern w:val="2"/>
          <w:szCs w:val="28"/>
          <w:lang w:val="ru-RU" w:eastAsia="en-GB" w:bidi="hi-IN"/>
        </w:rPr>
        <w:t>судоустрій</w:t>
      </w:r>
      <w:proofErr w:type="spellEnd"/>
      <w:r w:rsidRPr="00307CBF">
        <w:rPr>
          <w:rFonts w:eastAsia="Lucida Sans Unicode" w:cs="Times New Roman"/>
          <w:kern w:val="2"/>
          <w:szCs w:val="28"/>
          <w:lang w:val="ru-RU" w:eastAsia="en-GB" w:bidi="hi-IN"/>
        </w:rPr>
        <w:t xml:space="preserve"> і статус </w:t>
      </w:r>
      <w:proofErr w:type="spellStart"/>
      <w:r w:rsidRPr="00307CBF">
        <w:rPr>
          <w:rFonts w:eastAsia="Lucida Sans Unicode" w:cs="Times New Roman"/>
          <w:kern w:val="2"/>
          <w:szCs w:val="28"/>
          <w:lang w:val="ru-RU" w:eastAsia="en-GB" w:bidi="hi-IN"/>
        </w:rPr>
        <w:t>суддів</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щодо</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відрядження</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суддів</w:t>
      </w:r>
      <w:proofErr w:type="spellEnd"/>
      <w:r w:rsidRPr="00307CBF">
        <w:rPr>
          <w:rFonts w:eastAsia="Lucida Sans Unicode" w:cs="Times New Roman"/>
          <w:kern w:val="2"/>
          <w:szCs w:val="28"/>
          <w:lang w:val="ru-RU" w:eastAsia="en-GB" w:bidi="hi-IN"/>
        </w:rPr>
        <w:t xml:space="preserve"> </w:t>
      </w:r>
      <w:proofErr w:type="gramStart"/>
      <w:r w:rsidRPr="00307CBF">
        <w:rPr>
          <w:rFonts w:eastAsia="Lucida Sans Unicode" w:cs="Times New Roman"/>
          <w:kern w:val="2"/>
          <w:szCs w:val="28"/>
          <w:lang w:val="ru-RU" w:eastAsia="en-GB" w:bidi="hi-IN"/>
        </w:rPr>
        <w:t>в порядку</w:t>
      </w:r>
      <w:proofErr w:type="gram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тимчасового</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переведення</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судді</w:t>
      </w:r>
      <w:proofErr w:type="spellEnd"/>
      <w:r w:rsidRPr="00307CBF">
        <w:rPr>
          <w:rFonts w:eastAsia="Lucida Sans Unicode" w:cs="Times New Roman"/>
          <w:kern w:val="2"/>
          <w:szCs w:val="28"/>
          <w:lang w:val="ru-RU" w:eastAsia="en-GB" w:bidi="hi-IN"/>
        </w:rPr>
        <w:t xml:space="preserve"> до </w:t>
      </w:r>
      <w:proofErr w:type="spellStart"/>
      <w:r w:rsidRPr="00307CBF">
        <w:rPr>
          <w:rFonts w:eastAsia="Lucida Sans Unicode" w:cs="Times New Roman"/>
          <w:kern w:val="2"/>
          <w:szCs w:val="28"/>
          <w:lang w:val="ru-RU" w:eastAsia="en-GB" w:bidi="hi-IN"/>
        </w:rPr>
        <w:t>іншого</w:t>
      </w:r>
      <w:proofErr w:type="spellEnd"/>
      <w:r w:rsidRPr="00307CBF">
        <w:rPr>
          <w:rFonts w:eastAsia="Lucida Sans Unicode" w:cs="Times New Roman"/>
          <w:kern w:val="2"/>
          <w:szCs w:val="28"/>
          <w:lang w:val="ru-RU" w:eastAsia="en-GB" w:bidi="hi-IN"/>
        </w:rPr>
        <w:t xml:space="preserve"> суду» (</w:t>
      </w:r>
      <w:proofErr w:type="spellStart"/>
      <w:r w:rsidRPr="00307CBF">
        <w:rPr>
          <w:rFonts w:eastAsia="Lucida Sans Unicode" w:cs="Times New Roman"/>
          <w:kern w:val="2"/>
          <w:szCs w:val="28"/>
          <w:lang w:val="ru-RU" w:eastAsia="hi-IN" w:bidi="hi-IN"/>
        </w:rPr>
        <w:t>реєстраційний</w:t>
      </w:r>
      <w:proofErr w:type="spellEnd"/>
      <w:r w:rsidRPr="00307CBF">
        <w:rPr>
          <w:rFonts w:eastAsia="Lucida Sans Unicode" w:cs="Times New Roman"/>
          <w:kern w:val="2"/>
          <w:szCs w:val="28"/>
          <w:lang w:val="ru-RU" w:eastAsia="hi-IN" w:bidi="hi-IN"/>
        </w:rPr>
        <w:t xml:space="preserve"> № 2823 </w:t>
      </w:r>
      <w:proofErr w:type="spellStart"/>
      <w:r w:rsidRPr="00307CBF">
        <w:rPr>
          <w:rFonts w:eastAsia="Lucida Sans Unicode" w:cs="Times New Roman"/>
          <w:kern w:val="2"/>
          <w:szCs w:val="28"/>
          <w:lang w:val="ru-RU" w:eastAsia="hi-IN" w:bidi="hi-IN"/>
        </w:rPr>
        <w:t>від</w:t>
      </w:r>
      <w:proofErr w:type="spellEnd"/>
      <w:r w:rsidRPr="00307CBF">
        <w:rPr>
          <w:rFonts w:eastAsia="Lucida Sans Unicode" w:cs="Times New Roman"/>
          <w:kern w:val="2"/>
          <w:szCs w:val="28"/>
          <w:lang w:val="ru-RU" w:eastAsia="hi-IN" w:bidi="hi-IN"/>
        </w:rPr>
        <w:t xml:space="preserve"> 30 </w:t>
      </w:r>
      <w:proofErr w:type="spellStart"/>
      <w:r w:rsidRPr="00307CBF">
        <w:rPr>
          <w:rFonts w:eastAsia="Lucida Sans Unicode" w:cs="Times New Roman"/>
          <w:kern w:val="2"/>
          <w:szCs w:val="28"/>
          <w:lang w:val="ru-RU" w:eastAsia="hi-IN" w:bidi="hi-IN"/>
        </w:rPr>
        <w:t>січня</w:t>
      </w:r>
      <w:proofErr w:type="spellEnd"/>
      <w:r w:rsidRPr="00307CBF">
        <w:rPr>
          <w:rFonts w:eastAsia="Lucida Sans Unicode" w:cs="Times New Roman"/>
          <w:kern w:val="2"/>
          <w:szCs w:val="28"/>
          <w:lang w:val="ru-RU" w:eastAsia="hi-IN" w:bidi="hi-IN"/>
        </w:rPr>
        <w:t xml:space="preserve"> 2020 року</w:t>
      </w:r>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внесеного</w:t>
      </w:r>
      <w:proofErr w:type="spellEnd"/>
      <w:r w:rsidRPr="00307CBF">
        <w:rPr>
          <w:rFonts w:eastAsia="Lucida Sans Unicode" w:cs="Times New Roman"/>
          <w:kern w:val="2"/>
          <w:szCs w:val="28"/>
          <w:lang w:val="ru-RU" w:eastAsia="en-GB" w:bidi="hi-IN"/>
        </w:rPr>
        <w:t xml:space="preserve"> на </w:t>
      </w:r>
      <w:proofErr w:type="spellStart"/>
      <w:r w:rsidRPr="00307CBF">
        <w:rPr>
          <w:rFonts w:eastAsia="Lucida Sans Unicode" w:cs="Times New Roman"/>
          <w:kern w:val="2"/>
          <w:szCs w:val="28"/>
          <w:lang w:val="ru-RU" w:eastAsia="en-GB" w:bidi="hi-IN"/>
        </w:rPr>
        <w:t>розгляд</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Верховної</w:t>
      </w:r>
      <w:proofErr w:type="spellEnd"/>
      <w:r w:rsidRPr="00307CBF">
        <w:rPr>
          <w:rFonts w:eastAsia="Lucida Sans Unicode" w:cs="Times New Roman"/>
          <w:kern w:val="2"/>
          <w:szCs w:val="28"/>
          <w:lang w:val="ru-RU" w:eastAsia="en-GB" w:bidi="hi-IN"/>
        </w:rPr>
        <w:t xml:space="preserve"> Ради </w:t>
      </w:r>
      <w:proofErr w:type="spellStart"/>
      <w:r w:rsidRPr="00307CBF">
        <w:rPr>
          <w:rFonts w:eastAsia="Lucida Sans Unicode" w:cs="Times New Roman"/>
          <w:kern w:val="2"/>
          <w:szCs w:val="28"/>
          <w:lang w:val="ru-RU" w:eastAsia="en-GB" w:bidi="hi-IN"/>
        </w:rPr>
        <w:t>України</w:t>
      </w:r>
      <w:proofErr w:type="spellEnd"/>
      <w:r w:rsidRPr="00307CBF">
        <w:rPr>
          <w:rFonts w:eastAsia="Lucida Sans Unicode" w:cs="Times New Roman"/>
          <w:kern w:val="2"/>
          <w:szCs w:val="28"/>
          <w:lang w:val="ru-RU" w:eastAsia="en-GB" w:bidi="hi-IN"/>
        </w:rPr>
        <w:t xml:space="preserve"> у порядку </w:t>
      </w:r>
      <w:proofErr w:type="spellStart"/>
      <w:r w:rsidRPr="00307CBF">
        <w:rPr>
          <w:rFonts w:eastAsia="Lucida Sans Unicode" w:cs="Times New Roman"/>
          <w:kern w:val="2"/>
          <w:szCs w:val="28"/>
          <w:lang w:val="ru-RU" w:eastAsia="en-GB" w:bidi="hi-IN"/>
        </w:rPr>
        <w:t>законодавчої</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en-GB" w:bidi="hi-IN"/>
        </w:rPr>
        <w:t>ініціативи</w:t>
      </w:r>
      <w:proofErr w:type="spellEnd"/>
      <w:r w:rsidRPr="00307CBF">
        <w:rPr>
          <w:rFonts w:eastAsia="Lucida Sans Unicode" w:cs="Times New Roman"/>
          <w:kern w:val="2"/>
          <w:szCs w:val="28"/>
          <w:lang w:val="ru-RU" w:eastAsia="en-GB" w:bidi="hi-IN"/>
        </w:rPr>
        <w:t xml:space="preserve"> </w:t>
      </w:r>
      <w:proofErr w:type="spellStart"/>
      <w:r w:rsidRPr="00307CBF">
        <w:rPr>
          <w:rFonts w:eastAsia="Lucida Sans Unicode" w:cs="Times New Roman"/>
          <w:kern w:val="2"/>
          <w:szCs w:val="28"/>
          <w:lang w:val="ru-RU" w:eastAsia="hi-IN" w:bidi="hi-IN"/>
        </w:rPr>
        <w:t>народним</w:t>
      </w:r>
      <w:proofErr w:type="spellEnd"/>
      <w:r w:rsidRPr="00307CBF">
        <w:rPr>
          <w:rFonts w:eastAsia="Lucida Sans Unicode" w:cs="Times New Roman"/>
          <w:kern w:val="2"/>
          <w:szCs w:val="28"/>
          <w:lang w:val="ru-RU" w:eastAsia="hi-IN" w:bidi="hi-IN"/>
        </w:rPr>
        <w:t xml:space="preserve"> депутатом </w:t>
      </w:r>
      <w:proofErr w:type="spellStart"/>
      <w:r w:rsidRPr="00307CBF">
        <w:rPr>
          <w:rFonts w:eastAsia="Lucida Sans Unicode" w:cs="Times New Roman"/>
          <w:kern w:val="2"/>
          <w:szCs w:val="28"/>
          <w:lang w:val="ru-RU" w:eastAsia="hi-IN" w:bidi="hi-IN"/>
        </w:rPr>
        <w:t>України</w:t>
      </w:r>
      <w:proofErr w:type="spellEnd"/>
      <w:r w:rsidRPr="00307CBF">
        <w:rPr>
          <w:rFonts w:eastAsia="Lucida Sans Unicode" w:cs="Times New Roman"/>
          <w:kern w:val="2"/>
          <w:szCs w:val="28"/>
          <w:lang w:val="ru-RU" w:eastAsia="hi-IN" w:bidi="hi-IN"/>
        </w:rPr>
        <w:t xml:space="preserve"> </w:t>
      </w:r>
      <w:proofErr w:type="spellStart"/>
      <w:r w:rsidRPr="00307CBF">
        <w:rPr>
          <w:rFonts w:eastAsia="Lucida Sans Unicode" w:cs="Times New Roman"/>
          <w:kern w:val="2"/>
          <w:szCs w:val="28"/>
          <w:lang w:val="ru-RU" w:eastAsia="hi-IN" w:bidi="hi-IN"/>
        </w:rPr>
        <w:t>Бабієм</w:t>
      </w:r>
      <w:proofErr w:type="spellEnd"/>
      <w:r w:rsidRPr="00307CBF">
        <w:rPr>
          <w:rFonts w:eastAsia="Lucida Sans Unicode" w:cs="Times New Roman"/>
          <w:kern w:val="2"/>
          <w:szCs w:val="28"/>
          <w:lang w:val="ru-RU" w:eastAsia="hi-IN" w:bidi="hi-IN"/>
        </w:rPr>
        <w:t xml:space="preserve"> Р.В.</w:t>
      </w:r>
    </w:p>
    <w:p w:rsidR="00307CBF" w:rsidRPr="00307CBF" w:rsidRDefault="00307CBF" w:rsidP="00307CBF">
      <w:pPr>
        <w:widowControl w:val="0"/>
        <w:tabs>
          <w:tab w:val="left" w:pos="1134"/>
        </w:tabs>
        <w:spacing w:after="0" w:line="240" w:lineRule="auto"/>
        <w:ind w:firstLine="567"/>
        <w:jc w:val="both"/>
        <w:outlineLvl w:val="0"/>
        <w:rPr>
          <w:rFonts w:cs="Times New Roman"/>
          <w:szCs w:val="28"/>
        </w:rPr>
      </w:pPr>
      <w:r w:rsidRPr="00307CBF">
        <w:rPr>
          <w:rFonts w:cs="Times New Roman"/>
          <w:szCs w:val="28"/>
        </w:rPr>
        <w:t>2. Надіслати консультативний висновок до Верховної Ради України.</w:t>
      </w:r>
    </w:p>
    <w:p w:rsidR="00307CBF" w:rsidRPr="00307CBF" w:rsidRDefault="00307CBF" w:rsidP="00307CBF">
      <w:pPr>
        <w:widowControl w:val="0"/>
        <w:suppressAutoHyphens/>
        <w:spacing w:after="0" w:line="240" w:lineRule="auto"/>
        <w:rPr>
          <w:rFonts w:eastAsia="Lucida Sans Unicode" w:cs="Times New Roman"/>
          <w:kern w:val="2"/>
          <w:szCs w:val="28"/>
          <w:lang w:val="ru-RU" w:eastAsia="hi-IN" w:bidi="hi-IN"/>
        </w:rPr>
      </w:pPr>
    </w:p>
    <w:p w:rsidR="00307CBF" w:rsidRPr="00307CBF" w:rsidRDefault="00307CBF" w:rsidP="00307CBF">
      <w:pPr>
        <w:widowControl w:val="0"/>
        <w:suppressAutoHyphens/>
        <w:spacing w:after="0" w:line="240" w:lineRule="auto"/>
        <w:rPr>
          <w:rFonts w:eastAsia="Lucida Sans Unicode" w:cs="Times New Roman"/>
          <w:kern w:val="2"/>
          <w:szCs w:val="28"/>
          <w:lang w:val="ru-RU" w:eastAsia="hi-IN" w:bidi="hi-IN"/>
        </w:rPr>
      </w:pPr>
    </w:p>
    <w:p w:rsidR="00307CBF" w:rsidRPr="00307CBF" w:rsidRDefault="00307CBF" w:rsidP="00307CBF">
      <w:pPr>
        <w:widowControl w:val="0"/>
        <w:suppressAutoHyphens/>
        <w:spacing w:after="0" w:line="240" w:lineRule="auto"/>
        <w:jc w:val="both"/>
        <w:rPr>
          <w:rFonts w:eastAsia="Lucida Sans Unicode" w:cs="Times New Roman"/>
          <w:b/>
          <w:kern w:val="2"/>
          <w:szCs w:val="28"/>
          <w:lang w:val="ru-RU" w:eastAsia="hi-IN" w:bidi="hi-IN"/>
        </w:rPr>
      </w:pPr>
    </w:p>
    <w:p w:rsidR="00307CBF" w:rsidRPr="00307CBF" w:rsidRDefault="00307CBF" w:rsidP="00307CBF">
      <w:pPr>
        <w:widowControl w:val="0"/>
        <w:suppressAutoHyphens/>
        <w:spacing w:after="0" w:line="240" w:lineRule="auto"/>
        <w:jc w:val="both"/>
        <w:rPr>
          <w:rFonts w:eastAsia="Lucida Sans Unicode" w:cs="Times New Roman"/>
          <w:b/>
          <w:kern w:val="2"/>
          <w:szCs w:val="28"/>
          <w:lang w:val="ru-RU" w:eastAsia="hi-IN" w:bidi="hi-IN"/>
        </w:rPr>
      </w:pPr>
      <w:r w:rsidRPr="00307CBF">
        <w:rPr>
          <w:rFonts w:eastAsia="Lucida Sans Unicode" w:cs="Times New Roman"/>
          <w:b/>
          <w:kern w:val="2"/>
          <w:szCs w:val="28"/>
          <w:lang w:val="ru-RU" w:eastAsia="hi-IN" w:bidi="hi-IN"/>
        </w:rPr>
        <w:t xml:space="preserve">Голова </w:t>
      </w:r>
      <w:proofErr w:type="spellStart"/>
      <w:r w:rsidRPr="00307CBF">
        <w:rPr>
          <w:rFonts w:eastAsia="Lucida Sans Unicode" w:cs="Times New Roman"/>
          <w:b/>
          <w:kern w:val="2"/>
          <w:szCs w:val="28"/>
          <w:lang w:val="ru-RU" w:eastAsia="hi-IN" w:bidi="hi-IN"/>
        </w:rPr>
        <w:t>Вищої</w:t>
      </w:r>
      <w:proofErr w:type="spellEnd"/>
      <w:r w:rsidRPr="00307CBF">
        <w:rPr>
          <w:rFonts w:eastAsia="Lucida Sans Unicode" w:cs="Times New Roman"/>
          <w:b/>
          <w:kern w:val="2"/>
          <w:szCs w:val="28"/>
          <w:lang w:val="ru-RU" w:eastAsia="hi-IN" w:bidi="hi-IN"/>
        </w:rPr>
        <w:t xml:space="preserve"> ради </w:t>
      </w:r>
      <w:proofErr w:type="spellStart"/>
      <w:r w:rsidRPr="00307CBF">
        <w:rPr>
          <w:rFonts w:eastAsia="Lucida Sans Unicode" w:cs="Times New Roman"/>
          <w:b/>
          <w:kern w:val="2"/>
          <w:szCs w:val="28"/>
          <w:lang w:val="ru-RU" w:eastAsia="hi-IN" w:bidi="hi-IN"/>
        </w:rPr>
        <w:t>правосуддя</w:t>
      </w:r>
      <w:proofErr w:type="spellEnd"/>
      <w:r w:rsidRPr="00307CBF">
        <w:rPr>
          <w:rFonts w:eastAsia="Lucida Sans Unicode" w:cs="Times New Roman"/>
          <w:b/>
          <w:kern w:val="2"/>
          <w:szCs w:val="28"/>
          <w:lang w:val="ru-RU" w:eastAsia="hi-IN" w:bidi="hi-IN"/>
        </w:rPr>
        <w:t xml:space="preserve">      </w:t>
      </w:r>
      <w:r w:rsidRPr="00307CBF">
        <w:rPr>
          <w:rFonts w:eastAsia="Lucida Sans Unicode" w:cs="Times New Roman"/>
          <w:b/>
          <w:kern w:val="2"/>
          <w:szCs w:val="28"/>
          <w:lang w:val="ru-RU" w:eastAsia="hi-IN" w:bidi="hi-IN"/>
        </w:rPr>
        <w:tab/>
      </w:r>
      <w:r w:rsidRPr="00307CBF">
        <w:rPr>
          <w:rFonts w:eastAsia="Lucida Sans Unicode" w:cs="Times New Roman"/>
          <w:b/>
          <w:kern w:val="2"/>
          <w:szCs w:val="28"/>
          <w:lang w:val="ru-RU" w:eastAsia="hi-IN" w:bidi="hi-IN"/>
        </w:rPr>
        <w:tab/>
      </w:r>
      <w:r w:rsidRPr="00307CBF">
        <w:rPr>
          <w:rFonts w:eastAsia="Lucida Sans Unicode" w:cs="Times New Roman"/>
          <w:b/>
          <w:kern w:val="2"/>
          <w:szCs w:val="28"/>
          <w:lang w:val="ru-RU" w:eastAsia="hi-IN" w:bidi="hi-IN"/>
        </w:rPr>
        <w:tab/>
      </w:r>
      <w:r w:rsidRPr="00307CBF">
        <w:rPr>
          <w:rFonts w:eastAsia="Lucida Sans Unicode" w:cs="Times New Roman"/>
          <w:b/>
          <w:kern w:val="2"/>
          <w:szCs w:val="28"/>
          <w:lang w:val="ru-RU" w:eastAsia="hi-IN" w:bidi="hi-IN"/>
        </w:rPr>
        <w:tab/>
        <w:t xml:space="preserve">           А.А. </w:t>
      </w:r>
      <w:proofErr w:type="spellStart"/>
      <w:r w:rsidRPr="00307CBF">
        <w:rPr>
          <w:rFonts w:eastAsia="Lucida Sans Unicode" w:cs="Times New Roman"/>
          <w:b/>
          <w:kern w:val="2"/>
          <w:szCs w:val="28"/>
          <w:lang w:val="ru-RU" w:eastAsia="hi-IN" w:bidi="hi-IN"/>
        </w:rPr>
        <w:t>Овсієнко</w:t>
      </w:r>
      <w:proofErr w:type="spellEnd"/>
    </w:p>
    <w:p w:rsidR="00307CBF" w:rsidRPr="00307CBF" w:rsidRDefault="00307CBF" w:rsidP="00307CBF">
      <w:pPr>
        <w:widowControl w:val="0"/>
        <w:suppressAutoHyphens/>
        <w:spacing w:after="0" w:line="240" w:lineRule="auto"/>
        <w:jc w:val="both"/>
        <w:rPr>
          <w:rFonts w:eastAsia="Lucida Sans Unicode" w:cs="Times New Roman"/>
          <w:b/>
          <w:kern w:val="2"/>
          <w:szCs w:val="28"/>
          <w:lang w:val="ru-RU" w:eastAsia="hi-IN" w:bidi="hi-IN"/>
        </w:rPr>
      </w:pPr>
    </w:p>
    <w:p w:rsidR="00307CBF" w:rsidRPr="00307CBF" w:rsidRDefault="00307CBF" w:rsidP="00307CBF">
      <w:pPr>
        <w:widowControl w:val="0"/>
        <w:suppressAutoHyphens/>
        <w:spacing w:after="0" w:line="240" w:lineRule="auto"/>
        <w:jc w:val="both"/>
        <w:rPr>
          <w:rFonts w:eastAsia="Lucida Sans Unicode" w:cs="Times New Roman"/>
          <w:b/>
          <w:kern w:val="2"/>
          <w:szCs w:val="28"/>
          <w:lang w:val="ru-RU" w:eastAsia="hi-IN" w:bidi="hi-IN"/>
        </w:rPr>
      </w:pPr>
    </w:p>
    <w:p w:rsidR="00951FFC" w:rsidRDefault="00964660"/>
    <w:p w:rsidR="00307CBF" w:rsidRDefault="00307CBF"/>
    <w:p w:rsidR="00307CBF" w:rsidRDefault="00307CBF"/>
    <w:p w:rsidR="00307CBF" w:rsidRPr="00871DF4" w:rsidRDefault="00307CBF" w:rsidP="00307CBF">
      <w:pPr>
        <w:pStyle w:val="a3"/>
        <w:tabs>
          <w:tab w:val="left" w:pos="4536"/>
          <w:tab w:val="left" w:pos="5387"/>
        </w:tabs>
        <w:ind w:firstLine="5103"/>
        <w:rPr>
          <w:rFonts w:cs="Times New Roman"/>
          <w:b/>
          <w:szCs w:val="28"/>
        </w:rPr>
      </w:pPr>
      <w:r w:rsidRPr="00871DF4">
        <w:rPr>
          <w:rFonts w:cs="Times New Roman"/>
          <w:b/>
          <w:szCs w:val="28"/>
        </w:rPr>
        <w:lastRenderedPageBreak/>
        <w:t>ЗАТВЕРДЖЕНО</w:t>
      </w:r>
    </w:p>
    <w:p w:rsidR="00307CBF" w:rsidRPr="00871DF4" w:rsidRDefault="00307CBF" w:rsidP="00307CBF">
      <w:pPr>
        <w:pStyle w:val="a3"/>
        <w:tabs>
          <w:tab w:val="left" w:pos="4395"/>
          <w:tab w:val="left" w:pos="5245"/>
        </w:tabs>
        <w:ind w:firstLine="5103"/>
        <w:rPr>
          <w:rFonts w:cs="Times New Roman"/>
          <w:b/>
          <w:szCs w:val="28"/>
        </w:rPr>
      </w:pPr>
      <w:r w:rsidRPr="00871DF4">
        <w:rPr>
          <w:rFonts w:cs="Times New Roman"/>
          <w:b/>
          <w:szCs w:val="28"/>
        </w:rPr>
        <w:t>Рішення Вищої ради правосуддя</w:t>
      </w:r>
    </w:p>
    <w:p w:rsidR="00307CBF" w:rsidRDefault="00291C12" w:rsidP="00307CBF">
      <w:pPr>
        <w:pStyle w:val="a3"/>
        <w:tabs>
          <w:tab w:val="left" w:pos="3969"/>
          <w:tab w:val="left" w:pos="4678"/>
          <w:tab w:val="left" w:pos="5387"/>
        </w:tabs>
        <w:ind w:firstLine="5103"/>
        <w:rPr>
          <w:rFonts w:cs="Times New Roman"/>
          <w:b/>
          <w:szCs w:val="28"/>
        </w:rPr>
      </w:pPr>
      <w:r>
        <w:rPr>
          <w:rFonts w:cs="Times New Roman"/>
          <w:b/>
          <w:szCs w:val="28"/>
        </w:rPr>
        <w:t>12 березня 2020 року № 744</w:t>
      </w:r>
      <w:r w:rsidR="00307CBF" w:rsidRPr="00871DF4">
        <w:rPr>
          <w:rFonts w:cs="Times New Roman"/>
          <w:b/>
          <w:szCs w:val="28"/>
        </w:rPr>
        <w:t>/0/15-20</w:t>
      </w:r>
    </w:p>
    <w:p w:rsidR="00307CBF" w:rsidRDefault="00307CBF" w:rsidP="00307CBF">
      <w:pPr>
        <w:pStyle w:val="a3"/>
        <w:tabs>
          <w:tab w:val="left" w:pos="3969"/>
          <w:tab w:val="left" w:pos="4678"/>
          <w:tab w:val="left" w:pos="5387"/>
        </w:tabs>
        <w:ind w:firstLine="5103"/>
        <w:rPr>
          <w:rFonts w:cs="Times New Roman"/>
          <w:b/>
          <w:szCs w:val="28"/>
        </w:rPr>
      </w:pPr>
    </w:p>
    <w:p w:rsidR="00307CBF" w:rsidRPr="00871DF4" w:rsidRDefault="00307CBF" w:rsidP="00307CBF">
      <w:pPr>
        <w:pStyle w:val="a3"/>
        <w:tabs>
          <w:tab w:val="left" w:pos="3969"/>
          <w:tab w:val="left" w:pos="4678"/>
          <w:tab w:val="left" w:pos="5387"/>
        </w:tabs>
        <w:ind w:firstLine="5103"/>
        <w:rPr>
          <w:rFonts w:cs="Times New Roman"/>
          <w:b/>
          <w:szCs w:val="28"/>
        </w:rPr>
      </w:pPr>
    </w:p>
    <w:p w:rsidR="00307CBF" w:rsidRPr="00B71DAF" w:rsidRDefault="00307CBF" w:rsidP="00307CBF">
      <w:pPr>
        <w:pStyle w:val="a3"/>
        <w:jc w:val="center"/>
        <w:rPr>
          <w:rFonts w:cs="Times New Roman"/>
          <w:szCs w:val="28"/>
        </w:rPr>
      </w:pPr>
      <w:r w:rsidRPr="00B71DAF">
        <w:rPr>
          <w:rFonts w:cs="Times New Roman"/>
          <w:szCs w:val="28"/>
        </w:rPr>
        <w:t>КОНСУЛЬТАТИВНИЙ ВИСНОВОК</w:t>
      </w:r>
    </w:p>
    <w:p w:rsidR="00307CBF" w:rsidRPr="00EA793F" w:rsidRDefault="00307CBF" w:rsidP="00307CBF">
      <w:pPr>
        <w:pStyle w:val="a3"/>
        <w:jc w:val="center"/>
        <w:rPr>
          <w:rFonts w:cs="Times New Roman"/>
          <w:szCs w:val="28"/>
        </w:rPr>
      </w:pPr>
      <w:r w:rsidRPr="00B71DAF">
        <w:rPr>
          <w:rFonts w:cs="Times New Roman"/>
          <w:szCs w:val="28"/>
        </w:rPr>
        <w:t>щодо законопроект</w:t>
      </w:r>
      <w:r>
        <w:rPr>
          <w:rFonts w:cs="Times New Roman"/>
          <w:szCs w:val="28"/>
        </w:rPr>
        <w:t>у</w:t>
      </w:r>
      <w:r w:rsidRPr="00B71DAF">
        <w:rPr>
          <w:rFonts w:cs="Times New Roman"/>
          <w:szCs w:val="28"/>
        </w:rPr>
        <w:t xml:space="preserve"> № </w:t>
      </w:r>
      <w:r>
        <w:rPr>
          <w:rFonts w:cs="Times New Roman"/>
          <w:szCs w:val="28"/>
        </w:rPr>
        <w:t>2823</w:t>
      </w:r>
    </w:p>
    <w:p w:rsidR="00307CBF" w:rsidRDefault="00307CBF" w:rsidP="00307CBF">
      <w:pPr>
        <w:pStyle w:val="a3"/>
        <w:ind w:firstLine="567"/>
        <w:jc w:val="center"/>
        <w:rPr>
          <w:rFonts w:cs="Times New Roman"/>
          <w:szCs w:val="28"/>
        </w:rPr>
      </w:pPr>
    </w:p>
    <w:p w:rsidR="00307CBF" w:rsidRPr="00992895" w:rsidRDefault="00307CBF" w:rsidP="00307CBF">
      <w:pPr>
        <w:tabs>
          <w:tab w:val="left" w:pos="0"/>
        </w:tabs>
        <w:autoSpaceDE w:val="0"/>
        <w:autoSpaceDN w:val="0"/>
        <w:adjustRightInd w:val="0"/>
        <w:spacing w:after="0" w:line="240" w:lineRule="auto"/>
        <w:contextualSpacing/>
        <w:jc w:val="both"/>
        <w:rPr>
          <w:rFonts w:cs="Times New Roman"/>
          <w:iCs/>
          <w:szCs w:val="28"/>
        </w:rPr>
      </w:pPr>
      <w:r>
        <w:rPr>
          <w:rFonts w:cs="Times New Roman"/>
          <w:szCs w:val="28"/>
        </w:rPr>
        <w:tab/>
        <w:t xml:space="preserve">1. </w:t>
      </w:r>
      <w:r w:rsidRPr="00992895">
        <w:rPr>
          <w:rFonts w:cs="Times New Roman"/>
          <w:szCs w:val="28"/>
        </w:rPr>
        <w:t xml:space="preserve">Проект Закону України </w:t>
      </w:r>
      <w:r>
        <w:rPr>
          <w:lang w:eastAsia="en-GB"/>
        </w:rPr>
        <w:t>«Про внесення змін до Закону України «Про судоустрій і статус суддів» щодо відрядження суддів в порядку тимчасового переведення судді до іншого суду» від 30 січня 2020 року, реєстраційний номер № 2823 (далі</w:t>
      </w:r>
      <w:r>
        <w:t xml:space="preserve"> – </w:t>
      </w:r>
      <w:r>
        <w:rPr>
          <w:lang w:eastAsia="en-GB"/>
        </w:rPr>
        <w:t xml:space="preserve">законопроект № 2823), </w:t>
      </w:r>
      <w:r w:rsidRPr="00992895">
        <w:rPr>
          <w:rFonts w:cs="Times New Roman"/>
          <w:szCs w:val="28"/>
        </w:rPr>
        <w:t>внесений на розгляд Верховної Ради України у поря</w:t>
      </w:r>
      <w:r>
        <w:rPr>
          <w:rFonts w:cs="Times New Roman"/>
          <w:szCs w:val="28"/>
        </w:rPr>
        <w:t>дку законодавчої ініціативи народним депутатом України Бабієм Р.В</w:t>
      </w:r>
      <w:r w:rsidRPr="00992895">
        <w:rPr>
          <w:rFonts w:cs="Times New Roman"/>
          <w:szCs w:val="28"/>
        </w:rPr>
        <w:t>.</w:t>
      </w:r>
    </w:p>
    <w:p w:rsidR="00307CBF" w:rsidRDefault="00307CBF" w:rsidP="00307CBF">
      <w:pPr>
        <w:tabs>
          <w:tab w:val="left" w:pos="9180"/>
        </w:tabs>
        <w:spacing w:line="240" w:lineRule="auto"/>
        <w:ind w:firstLine="567"/>
        <w:contextualSpacing/>
        <w:jc w:val="both"/>
      </w:pPr>
      <w:r w:rsidRPr="00B83696">
        <w:rPr>
          <w:rFonts w:cs="Times New Roman"/>
          <w:szCs w:val="28"/>
        </w:rPr>
        <w:t xml:space="preserve">Як убачається з пояснювальної записки до </w:t>
      </w:r>
      <w:r>
        <w:rPr>
          <w:rFonts w:cs="Times New Roman"/>
          <w:szCs w:val="28"/>
        </w:rPr>
        <w:t>законопроекту № 2823</w:t>
      </w:r>
      <w:r w:rsidRPr="00B83696">
        <w:rPr>
          <w:rFonts w:cs="Times New Roman"/>
          <w:szCs w:val="28"/>
        </w:rPr>
        <w:t xml:space="preserve">, </w:t>
      </w:r>
      <w:r>
        <w:rPr>
          <w:rFonts w:cs="Times New Roman"/>
          <w:szCs w:val="28"/>
        </w:rPr>
        <w:t>його</w:t>
      </w:r>
      <w:r>
        <w:rPr>
          <w:rFonts w:eastAsia="Times New Roman" w:cs="Times New Roman"/>
          <w:color w:val="000000"/>
          <w:szCs w:val="28"/>
          <w:lang w:eastAsia="ru-RU"/>
        </w:rPr>
        <w:t xml:space="preserve"> метою </w:t>
      </w:r>
      <w:r w:rsidRPr="00B81AB1">
        <w:rPr>
          <w:spacing w:val="-2"/>
        </w:rPr>
        <w:t xml:space="preserve">є </w:t>
      </w:r>
      <w:r w:rsidRPr="00B81AB1">
        <w:rPr>
          <w:bCs/>
        </w:rPr>
        <w:t>попередження</w:t>
      </w:r>
      <w:r>
        <w:rPr>
          <w:bCs/>
        </w:rPr>
        <w:t xml:space="preserve"> можливості збільшення і так не</w:t>
      </w:r>
      <w:r w:rsidRPr="00B81AB1">
        <w:rPr>
          <w:bCs/>
        </w:rPr>
        <w:t>малого кадрового дефіциту суддів в окремих судах та дестабіл</w:t>
      </w:r>
      <w:r>
        <w:rPr>
          <w:bCs/>
        </w:rPr>
        <w:t>ізації у здійсненні судочинства</w:t>
      </w:r>
      <w:r w:rsidRPr="00B81AB1">
        <w:rPr>
          <w:bCs/>
        </w:rPr>
        <w:t xml:space="preserve"> шляхом надання права Вищій раді правосуддя продовження строку ві</w:t>
      </w:r>
      <w:r>
        <w:rPr>
          <w:bCs/>
        </w:rPr>
        <w:t>дрядження суддів до іншого суду</w:t>
      </w:r>
      <w:r w:rsidRPr="00B81AB1">
        <w:rPr>
          <w:bCs/>
        </w:rPr>
        <w:t xml:space="preserve"> того самого рівня і спеціалізації для здійснення правосуддя, але не більше ніж</w:t>
      </w:r>
      <w:r>
        <w:rPr>
          <w:bCs/>
        </w:rPr>
        <w:t xml:space="preserve"> на один рік, за зверненням г</w:t>
      </w:r>
      <w:r w:rsidRPr="00B81AB1">
        <w:rPr>
          <w:bCs/>
        </w:rPr>
        <w:t>олови суду</w:t>
      </w:r>
      <w:r>
        <w:rPr>
          <w:bCs/>
        </w:rPr>
        <w:t>,</w:t>
      </w:r>
      <w:r w:rsidRPr="00B81AB1">
        <w:rPr>
          <w:bCs/>
        </w:rPr>
        <w:t xml:space="preserve"> у якому суддя перебував у відрядженні</w:t>
      </w:r>
      <w:r>
        <w:rPr>
          <w:bCs/>
        </w:rPr>
        <w:t>,</w:t>
      </w:r>
      <w:r w:rsidRPr="00B81AB1">
        <w:rPr>
          <w:bCs/>
        </w:rPr>
        <w:t xml:space="preserve"> та заяви судді на </w:t>
      </w:r>
      <w:r>
        <w:rPr>
          <w:bCs/>
        </w:rPr>
        <w:t>продовження строку відрядження.</w:t>
      </w:r>
      <w:r w:rsidRPr="007E0A08">
        <w:rPr>
          <w:color w:val="000000"/>
        </w:rPr>
        <w:t xml:space="preserve"> </w:t>
      </w:r>
      <w:r w:rsidRPr="00B81AB1">
        <w:rPr>
          <w:color w:val="000000"/>
        </w:rPr>
        <w:t>Законопроект</w:t>
      </w:r>
      <w:r w:rsidRPr="00946B8D">
        <w:rPr>
          <w:color w:val="000000"/>
          <w:lang w:val="ru-RU"/>
        </w:rPr>
        <w:t xml:space="preserve"> </w:t>
      </w:r>
      <w:r>
        <w:rPr>
          <w:color w:val="000000"/>
        </w:rPr>
        <w:t>№ 2823</w:t>
      </w:r>
      <w:r w:rsidRPr="00B81AB1">
        <w:rPr>
          <w:color w:val="000000"/>
        </w:rPr>
        <w:t xml:space="preserve"> спрямований </w:t>
      </w:r>
      <w:r w:rsidRPr="00B81AB1">
        <w:t>на</w:t>
      </w:r>
      <w:r w:rsidRPr="00B81AB1">
        <w:rPr>
          <w:color w:val="000000"/>
        </w:rPr>
        <w:t xml:space="preserve"> врегулювання кадрового колапсу в судовій системі, вдосконалення процедури щодо відр</w:t>
      </w:r>
      <w:r>
        <w:rPr>
          <w:color w:val="000000"/>
        </w:rPr>
        <w:t xml:space="preserve">ядження суддів, </w:t>
      </w:r>
      <w:r w:rsidRPr="00B81AB1">
        <w:rPr>
          <w:color w:val="000000"/>
        </w:rPr>
        <w:t>зміцнення незалежності судової влади в України та довіри до неї з боку суспільства</w:t>
      </w:r>
      <w:r>
        <w:t>.</w:t>
      </w:r>
    </w:p>
    <w:p w:rsidR="00307CBF" w:rsidRDefault="00307CBF" w:rsidP="00307CBF">
      <w:pPr>
        <w:tabs>
          <w:tab w:val="left" w:pos="9180"/>
        </w:tabs>
        <w:spacing w:line="240" w:lineRule="auto"/>
        <w:ind w:firstLine="567"/>
        <w:contextualSpacing/>
        <w:jc w:val="both"/>
        <w:rPr>
          <w:rFonts w:cs="Times New Roman"/>
          <w:szCs w:val="28"/>
        </w:rPr>
      </w:pPr>
    </w:p>
    <w:p w:rsidR="00307CBF" w:rsidRPr="007E0A08" w:rsidRDefault="00307CBF" w:rsidP="00307CBF">
      <w:pPr>
        <w:tabs>
          <w:tab w:val="left" w:pos="9180"/>
        </w:tabs>
        <w:spacing w:line="240" w:lineRule="auto"/>
        <w:ind w:firstLine="567"/>
        <w:contextualSpacing/>
        <w:jc w:val="both"/>
      </w:pPr>
      <w:r>
        <w:rPr>
          <w:rFonts w:cs="Times New Roman"/>
          <w:szCs w:val="28"/>
        </w:rPr>
        <w:t xml:space="preserve">2. </w:t>
      </w:r>
      <w:r w:rsidRPr="004548EB">
        <w:rPr>
          <w:rFonts w:cs="Times New Roman"/>
          <w:szCs w:val="28"/>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307CBF" w:rsidRPr="00C23475" w:rsidRDefault="00307CBF" w:rsidP="00307CBF">
      <w:pPr>
        <w:tabs>
          <w:tab w:val="left" w:pos="0"/>
        </w:tabs>
        <w:autoSpaceDE w:val="0"/>
        <w:autoSpaceDN w:val="0"/>
        <w:adjustRightInd w:val="0"/>
        <w:spacing w:after="0" w:line="240" w:lineRule="auto"/>
        <w:contextualSpacing/>
        <w:jc w:val="both"/>
        <w:rPr>
          <w:rFonts w:cs="Times New Roman"/>
          <w:szCs w:val="28"/>
          <w:lang w:eastAsia="uk-UA"/>
        </w:rPr>
      </w:pPr>
      <w:r>
        <w:rPr>
          <w:rFonts w:cs="Times New Roman"/>
          <w:szCs w:val="28"/>
          <w:lang w:eastAsia="uk-UA"/>
        </w:rPr>
        <w:tab/>
      </w:r>
      <w:r w:rsidRPr="00A6758A">
        <w:rPr>
          <w:rFonts w:cs="Times New Roman"/>
          <w:iCs/>
          <w:szCs w:val="28"/>
        </w:rPr>
        <w:t>Усі проекти законів, що стосуються статусу суддів, відправлення правосуддя, процесуальних законів</w:t>
      </w:r>
      <w:r>
        <w:rPr>
          <w:rFonts w:cs="Times New Roman"/>
          <w:iCs/>
          <w:szCs w:val="28"/>
        </w:rPr>
        <w:t>,</w:t>
      </w:r>
      <w:r w:rsidRPr="00A6758A">
        <w:rPr>
          <w:rFonts w:cs="Times New Roman"/>
          <w:iCs/>
          <w:szCs w:val="28"/>
        </w:rPr>
        <w:t xml:space="preserve">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A6758A">
        <w:rPr>
          <w:rStyle w:val="a6"/>
          <w:iCs/>
          <w:szCs w:val="28"/>
        </w:rPr>
        <w:footnoteReference w:id="1"/>
      </w:r>
      <w:r w:rsidRPr="00A6758A">
        <w:rPr>
          <w:rFonts w:cs="Times New Roman"/>
          <w:iCs/>
          <w:szCs w:val="28"/>
        </w:rPr>
        <w:t>.</w:t>
      </w:r>
    </w:p>
    <w:p w:rsidR="00307CBF" w:rsidRDefault="00307CBF" w:rsidP="00307CBF">
      <w:pPr>
        <w:tabs>
          <w:tab w:val="left" w:pos="9180"/>
        </w:tabs>
        <w:spacing w:after="0" w:line="240" w:lineRule="auto"/>
        <w:ind w:firstLine="720"/>
        <w:contextualSpacing/>
        <w:jc w:val="both"/>
        <w:rPr>
          <w:rFonts w:cs="Times New Roman"/>
          <w:szCs w:val="28"/>
        </w:rPr>
      </w:pPr>
      <w:r>
        <w:rPr>
          <w:rFonts w:cs="Times New Roman"/>
          <w:szCs w:val="28"/>
        </w:rPr>
        <w:t xml:space="preserve">Розглянувши законопроект № 2823 та опрацювавши позицію Національної школи суддів України, </w:t>
      </w:r>
      <w:r w:rsidRPr="00B83696">
        <w:rPr>
          <w:rFonts w:cs="Times New Roman"/>
          <w:szCs w:val="28"/>
        </w:rPr>
        <w:t>Вища рада правосуддя</w:t>
      </w:r>
      <w:r>
        <w:rPr>
          <w:rFonts w:cs="Times New Roman"/>
          <w:szCs w:val="28"/>
        </w:rPr>
        <w:t xml:space="preserve"> зазначає таке</w:t>
      </w:r>
      <w:r w:rsidRPr="00B83696">
        <w:rPr>
          <w:rFonts w:cs="Times New Roman"/>
          <w:szCs w:val="28"/>
        </w:rPr>
        <w:t>.</w:t>
      </w:r>
    </w:p>
    <w:p w:rsidR="00307CBF" w:rsidRDefault="00307CBF" w:rsidP="00307CBF">
      <w:pPr>
        <w:spacing w:line="240" w:lineRule="auto"/>
        <w:ind w:firstLine="709"/>
        <w:contextualSpacing/>
        <w:jc w:val="both"/>
      </w:pPr>
      <w:r w:rsidRPr="004B5841">
        <w:t>Нормативне регулювання відрядженн</w:t>
      </w:r>
      <w:r>
        <w:t>я суддів здійснюється Конституцією України</w:t>
      </w:r>
      <w:r w:rsidRPr="004B5841">
        <w:t xml:space="preserve">, </w:t>
      </w:r>
      <w:r>
        <w:t xml:space="preserve">законами України </w:t>
      </w:r>
      <w:r w:rsidRPr="004B5841">
        <w:t>«Про судоустрій і статус судд</w:t>
      </w:r>
      <w:r>
        <w:t>ів», «Про Вищу раду правосуддя»,</w:t>
      </w:r>
      <w:r w:rsidRPr="004B5841">
        <w:t xml:space="preserve"> </w:t>
      </w:r>
      <w:r>
        <w:t>Порядком</w:t>
      </w:r>
      <w:r w:rsidRPr="004B5841">
        <w:t xml:space="preserve"> відрядження судді до іншого суду того самого рівня і спеціалізаці</w:t>
      </w:r>
      <w:r>
        <w:t xml:space="preserve">ї (як тимчасового переведення), затвердженим </w:t>
      </w:r>
      <w:r w:rsidRPr="004B5841">
        <w:t>рішенням Вищої ради правосуддя від 24 січня 2017 року № 54/0/15-17</w:t>
      </w:r>
      <w:r>
        <w:t>.</w:t>
      </w:r>
      <w:r w:rsidRPr="004B5841">
        <w:t xml:space="preserve"> </w:t>
      </w:r>
    </w:p>
    <w:p w:rsidR="00307CBF" w:rsidRDefault="00307CBF" w:rsidP="00307CBF">
      <w:pPr>
        <w:spacing w:line="240" w:lineRule="auto"/>
        <w:ind w:firstLine="709"/>
        <w:contextualSpacing/>
        <w:jc w:val="both"/>
      </w:pPr>
      <w:r>
        <w:lastRenderedPageBreak/>
        <w:t>П</w:t>
      </w:r>
      <w:r w:rsidRPr="004B5841">
        <w:t>ідставами відрядження судді відповідно до статті 55 Закону України «Про судоустрій і статус суддів» є неможливість здійснення правосуддя та виявлення надмірного рівня судового навантаження у відповідному суді, п</w:t>
      </w:r>
      <w:r>
        <w:t>рипинення роботи суду у зв’язку</w:t>
      </w:r>
      <w:r w:rsidRPr="004B5841">
        <w:t xml:space="preserve"> зі стихійним лихом, з військовими діями, із заходами щодо боротьби з тероризмом, з іншими надзви</w:t>
      </w:r>
      <w:r>
        <w:t xml:space="preserve">чайними обставинами.                                                                                                                                                                                                            </w:t>
      </w:r>
    </w:p>
    <w:p w:rsidR="00307CBF" w:rsidRDefault="00307CBF" w:rsidP="00307CBF">
      <w:pPr>
        <w:spacing w:line="240" w:lineRule="auto"/>
        <w:ind w:firstLine="709"/>
        <w:contextualSpacing/>
        <w:jc w:val="both"/>
      </w:pPr>
      <w:r>
        <w:t>Слід звернути увагу на те</w:t>
      </w:r>
      <w:r w:rsidRPr="004B5841">
        <w:t>, що обов’язковою умовою відрядження судді для здійснення правосуддя є наявність згоди на це само</w:t>
      </w:r>
      <w:r>
        <w:t>го судді, а строк відрядження визначається Вищою радою правосуддя, але не більше ніж на один</w:t>
      </w:r>
      <w:r w:rsidRPr="004B5841">
        <w:t xml:space="preserve"> рік.</w:t>
      </w:r>
    </w:p>
    <w:p w:rsidR="00307CBF" w:rsidRPr="00895D33" w:rsidRDefault="00307CBF" w:rsidP="00307CBF">
      <w:pPr>
        <w:spacing w:line="240" w:lineRule="auto"/>
        <w:ind w:firstLine="708"/>
        <w:contextualSpacing/>
        <w:jc w:val="both"/>
      </w:pPr>
      <w:r w:rsidRPr="00895D33">
        <w:rPr>
          <w:szCs w:val="28"/>
        </w:rPr>
        <w:t>Аналіз міжнародно-правових актів засвідчує, що існують певні критерії для переведення суддів з одного суду до іншого, серед яких можна виділити такі. По-перше, будь-яке переведення або переміщення судді розглядається як невід’ємна складова його кар’єри, і до цієї процедури застосовуються загальні засади просуванн</w:t>
      </w:r>
      <w:r>
        <w:rPr>
          <w:szCs w:val="28"/>
        </w:rPr>
        <w:t>я</w:t>
      </w:r>
      <w:r w:rsidRPr="00895D33">
        <w:rPr>
          <w:szCs w:val="28"/>
        </w:rPr>
        <w:t xml:space="preserve"> судді по службі. По-друге, за загальним правилом переведення судді має відбуватися за його згодою.</w:t>
      </w:r>
    </w:p>
    <w:p w:rsidR="00307CBF" w:rsidRDefault="00307CBF" w:rsidP="00307CBF">
      <w:pPr>
        <w:spacing w:line="240" w:lineRule="auto"/>
        <w:ind w:firstLine="708"/>
        <w:contextualSpacing/>
        <w:jc w:val="both"/>
      </w:pPr>
      <w:r w:rsidRPr="00B318C3">
        <w:t>У судах має працювати достатня кількість суддів та кваліфікований допоміжний персонал. Для попередження виникнення та зменшення надмірного робочого навантаження в судах потрібно вжити необхідних заходів для забезпечення незалежності судової влади, щоб передати вирішення несудових питань іншим особам із відповідною кваліфікацією</w:t>
      </w:r>
      <w:r>
        <w:rPr>
          <w:rStyle w:val="a6"/>
        </w:rPr>
        <w:footnoteReference w:id="2"/>
      </w:r>
      <w:r>
        <w:t>.</w:t>
      </w:r>
    </w:p>
    <w:p w:rsidR="00307CBF" w:rsidRDefault="00307CBF" w:rsidP="00307CBF">
      <w:pPr>
        <w:spacing w:line="240" w:lineRule="auto"/>
        <w:ind w:firstLine="708"/>
        <w:contextualSpacing/>
        <w:jc w:val="both"/>
      </w:pPr>
      <w:r w:rsidRPr="000E3137">
        <w:t>Щодо переведення, основним принципом є те, що суддів неможливо переводити без їх згоди.</w:t>
      </w:r>
      <w:r>
        <w:rPr>
          <w:rFonts w:ascii="Georgia" w:hAnsi="Georgia"/>
          <w:color w:val="555555"/>
          <w:sz w:val="26"/>
          <w:szCs w:val="26"/>
          <w:shd w:val="clear" w:color="auto" w:fill="F9F9F9"/>
        </w:rPr>
        <w:t xml:space="preserve"> </w:t>
      </w:r>
      <w:r>
        <w:t>Суддя не може отримати нове призначення або бути переведеним на іншу судову посаду без його згоди на це, крім випадків, коли щодо нього вживаються дисциплінарні санкції або здійснюється реформування в організації судової системи</w:t>
      </w:r>
      <w:r>
        <w:rPr>
          <w:rStyle w:val="a6"/>
        </w:rPr>
        <w:footnoteReference w:id="3"/>
      </w:r>
      <w:r>
        <w:t>.</w:t>
      </w:r>
    </w:p>
    <w:p w:rsidR="00307CBF" w:rsidRDefault="00307CBF" w:rsidP="00307CBF">
      <w:pPr>
        <w:spacing w:line="240" w:lineRule="auto"/>
        <w:ind w:firstLine="708"/>
        <w:contextualSpacing/>
        <w:jc w:val="both"/>
      </w:pPr>
      <w:r>
        <w:t xml:space="preserve">Цей інститут спрямований на забезпечення належного здійснення правосуддя носіями судової влади, забезпечення доступу до правосуддя, врегулювання навантаження у судах, підвищення авторитету правосуддя, підтримку кваліфікації суддів тощо. Слід звернути увагу на те, щоб у </w:t>
      </w:r>
      <w:r w:rsidRPr="004B5841">
        <w:t>результаті відря</w:t>
      </w:r>
      <w:r>
        <w:t xml:space="preserve">дження судді не </w:t>
      </w:r>
      <w:proofErr w:type="spellStart"/>
      <w:r>
        <w:t>виникло</w:t>
      </w:r>
      <w:proofErr w:type="spellEnd"/>
      <w:r>
        <w:t xml:space="preserve"> </w:t>
      </w:r>
      <w:r w:rsidRPr="004B5841">
        <w:t>надмірного навантаження в суді, в якому він працює. </w:t>
      </w:r>
    </w:p>
    <w:p w:rsidR="00307CBF" w:rsidRPr="002C7A23" w:rsidRDefault="00307CBF" w:rsidP="00307CBF">
      <w:pPr>
        <w:spacing w:line="240" w:lineRule="auto"/>
        <w:ind w:firstLine="708"/>
        <w:contextualSpacing/>
        <w:jc w:val="both"/>
        <w:rPr>
          <w:rFonts w:cs="Times New Roman"/>
          <w:szCs w:val="28"/>
          <w:shd w:val="clear" w:color="auto" w:fill="FFFFFF"/>
        </w:rPr>
      </w:pPr>
      <w:r w:rsidRPr="007C45B1">
        <w:rPr>
          <w:rFonts w:cs="Times New Roman"/>
          <w:szCs w:val="28"/>
          <w:shd w:val="clear" w:color="auto" w:fill="FFFFFF"/>
        </w:rPr>
        <w:t xml:space="preserve">Питання переведення суддів беззаперечно є актуальним і насамперед для суддів. </w:t>
      </w:r>
      <w:r>
        <w:t>Метою внесення змін до чинного</w:t>
      </w:r>
      <w:r w:rsidRPr="002C7A23">
        <w:t xml:space="preserve"> законодавства є виявлення пробле</w:t>
      </w:r>
      <w:r>
        <w:t>мних аспектів цієї</w:t>
      </w:r>
      <w:r w:rsidRPr="002C7A23">
        <w:t xml:space="preserve"> процедури й надання рекомендацій з удосконалення законодавства, яке її внормовує.</w:t>
      </w:r>
    </w:p>
    <w:p w:rsidR="00307CBF" w:rsidRPr="00964660" w:rsidRDefault="00307CBF" w:rsidP="00307CBF">
      <w:pPr>
        <w:spacing w:line="240" w:lineRule="auto"/>
        <w:ind w:firstLine="709"/>
        <w:contextualSpacing/>
        <w:jc w:val="both"/>
        <w:rPr>
          <w:rStyle w:val="a7"/>
          <w:rFonts w:cs="Times New Roman"/>
          <w:bCs/>
          <w:i w:val="0"/>
          <w:szCs w:val="28"/>
          <w:bdr w:val="none" w:sz="0" w:space="0" w:color="auto" w:frame="1"/>
          <w:shd w:val="clear" w:color="auto" w:fill="FFFFFF"/>
        </w:rPr>
      </w:pPr>
      <w:r w:rsidRPr="00964660">
        <w:rPr>
          <w:rStyle w:val="a7"/>
          <w:rFonts w:cs="Times New Roman"/>
          <w:bCs/>
          <w:i w:val="0"/>
          <w:szCs w:val="28"/>
          <w:bdr w:val="none" w:sz="0" w:space="0" w:color="auto" w:frame="1"/>
          <w:shd w:val="clear" w:color="auto" w:fill="FFFFFF"/>
        </w:rPr>
        <w:t>Проведення судової реформи в Україні на сьогодні є одним із найбільш важливих та обговорюваних питань, особливо в світлі євроінтеграції нашої держави. Основними завданнями реформи є утвердження справедливого суду та вдосконалення судової системи. Водночас проблематика здійснення судово-правової реформи та підвищення ефективності правосуддя завжди були й залишаються актуальними серед науковців та державних діячів.</w:t>
      </w:r>
    </w:p>
    <w:p w:rsidR="00307CBF" w:rsidRPr="00231894" w:rsidRDefault="00307CBF" w:rsidP="00307CBF">
      <w:pPr>
        <w:spacing w:line="240" w:lineRule="auto"/>
        <w:ind w:firstLine="709"/>
        <w:contextualSpacing/>
        <w:jc w:val="both"/>
        <w:rPr>
          <w:rFonts w:cs="Times New Roman"/>
          <w:bCs/>
          <w:iCs/>
          <w:szCs w:val="28"/>
          <w:bdr w:val="none" w:sz="0" w:space="0" w:color="auto" w:frame="1"/>
          <w:shd w:val="clear" w:color="auto" w:fill="FFFFFF"/>
        </w:rPr>
      </w:pPr>
      <w:r>
        <w:rPr>
          <w:rFonts w:cs="Times New Roman"/>
          <w:szCs w:val="28"/>
        </w:rPr>
        <w:lastRenderedPageBreak/>
        <w:t>Р</w:t>
      </w:r>
      <w:r w:rsidRPr="00231894">
        <w:rPr>
          <w:rFonts w:cs="Times New Roman"/>
          <w:szCs w:val="28"/>
        </w:rPr>
        <w:t>еформування судової влади в Україні на сь</w:t>
      </w:r>
      <w:r>
        <w:rPr>
          <w:rFonts w:cs="Times New Roman"/>
          <w:szCs w:val="28"/>
        </w:rPr>
        <w:t>огодні є назрілим</w:t>
      </w:r>
      <w:r w:rsidRPr="00231894">
        <w:rPr>
          <w:rFonts w:cs="Times New Roman"/>
          <w:szCs w:val="28"/>
        </w:rPr>
        <w:t xml:space="preserve">, оскільки найважливішими передумовами розвитку громадянського суспільства мають стати якісне, стабільне законодавство та ефективне правосуддя, які здатні реально забезпечувати надійний захист прав і свобод людини, </w:t>
      </w:r>
      <w:r>
        <w:rPr>
          <w:rFonts w:cs="Times New Roman"/>
          <w:szCs w:val="28"/>
        </w:rPr>
        <w:t xml:space="preserve">інтересів суспільства і держави, тому </w:t>
      </w:r>
      <w:r w:rsidRPr="00231894">
        <w:rPr>
          <w:rFonts w:cs="Times New Roman"/>
          <w:szCs w:val="28"/>
        </w:rPr>
        <w:t>є необхідність теоретичного осмислення нового етапу реформування судової системи в Україні, наближення її до міжнародних стандартів для ефективного вдосконалення та реалізац</w:t>
      </w:r>
      <w:r>
        <w:rPr>
          <w:rFonts w:cs="Times New Roman"/>
          <w:szCs w:val="28"/>
        </w:rPr>
        <w:t>ії</w:t>
      </w:r>
      <w:r w:rsidRPr="00231894">
        <w:rPr>
          <w:rFonts w:cs="Times New Roman"/>
          <w:szCs w:val="28"/>
        </w:rPr>
        <w:t xml:space="preserve"> на практиці. Спрямованість судово-правової реформи передусім повинна обумовлювати максимальне забезпечення принципу верховенства права, а також досягнення соціального ефекту у суспільстві, відновлення довіри до судової влади й створення умов доступного правосуддя.</w:t>
      </w:r>
    </w:p>
    <w:p w:rsidR="00307CBF" w:rsidRDefault="00307CBF" w:rsidP="00307CBF">
      <w:pPr>
        <w:spacing w:line="240" w:lineRule="auto"/>
        <w:ind w:firstLine="708"/>
        <w:contextualSpacing/>
        <w:jc w:val="both"/>
        <w:rPr>
          <w:shd w:val="clear" w:color="auto" w:fill="FFFFFF"/>
        </w:rPr>
      </w:pPr>
      <w:r>
        <w:rPr>
          <w:shd w:val="clear" w:color="auto" w:fill="FFFFFF"/>
        </w:rPr>
        <w:t>В ситуації, яка нині склалася із кадровим наповненням судів, відрядження судді є об’єктивною необхідністю. Саме шляхом  відрядження судді як тимчасового переведення можливо досягти кількох цілей, зокрема: забезпечення доступу до правосуддя, врегулювання навантаження у судах, підвищення авторитету правосуддя, підтримки кваліфікації судді.</w:t>
      </w:r>
    </w:p>
    <w:p w:rsidR="00307CBF" w:rsidRDefault="00307CBF" w:rsidP="00307CBF">
      <w:pPr>
        <w:spacing w:line="240" w:lineRule="auto"/>
        <w:ind w:firstLine="708"/>
        <w:contextualSpacing/>
        <w:jc w:val="both"/>
        <w:rPr>
          <w:shd w:val="clear" w:color="auto" w:fill="FFFFFF"/>
        </w:rPr>
      </w:pPr>
    </w:p>
    <w:p w:rsidR="00307CBF" w:rsidRPr="00A12B5D" w:rsidRDefault="00307CBF" w:rsidP="00307CBF">
      <w:pPr>
        <w:spacing w:line="240" w:lineRule="auto"/>
        <w:ind w:firstLine="708"/>
        <w:contextualSpacing/>
        <w:jc w:val="both"/>
        <w:rPr>
          <w:shd w:val="clear" w:color="auto" w:fill="FFFFFF"/>
        </w:rPr>
      </w:pPr>
      <w:r>
        <w:rPr>
          <w:shd w:val="clear" w:color="auto" w:fill="FFFFFF"/>
        </w:rPr>
        <w:t xml:space="preserve">3. </w:t>
      </w:r>
      <w:r w:rsidRPr="00A12B5D">
        <w:rPr>
          <w:shd w:val="clear" w:color="auto" w:fill="FFFFFF"/>
        </w:rPr>
        <w:t xml:space="preserve">Враховуючи наявність кадрової проблеми, автор законопроекту № 2823 пропонує збільшити максимально можливий строк відрядження судді. </w:t>
      </w:r>
    </w:p>
    <w:p w:rsidR="00307CBF" w:rsidRPr="00A12B5D" w:rsidRDefault="00307CBF" w:rsidP="00307CBF">
      <w:pPr>
        <w:spacing w:line="240" w:lineRule="auto"/>
        <w:ind w:firstLine="708"/>
        <w:contextualSpacing/>
        <w:jc w:val="both"/>
        <w:rPr>
          <w:shd w:val="clear" w:color="auto" w:fill="FFFFFF"/>
        </w:rPr>
      </w:pPr>
      <w:r w:rsidRPr="00A12B5D">
        <w:rPr>
          <w:shd w:val="clear" w:color="auto" w:fill="FFFFFF"/>
        </w:rPr>
        <w:t xml:space="preserve">Відповідно до пункту 5 розділу </w:t>
      </w:r>
      <w:r w:rsidRPr="00A12B5D">
        <w:rPr>
          <w:shd w:val="clear" w:color="auto" w:fill="FFFFFF"/>
          <w:lang w:val="en-US"/>
        </w:rPr>
        <w:t>V</w:t>
      </w:r>
      <w:r w:rsidRPr="00A12B5D">
        <w:rPr>
          <w:shd w:val="clear" w:color="auto" w:fill="FFFFFF"/>
        </w:rPr>
        <w:t xml:space="preserve"> Порядку відрядження судді до іншого суду того самого рівня і спеціалізац</w:t>
      </w:r>
      <w:r>
        <w:rPr>
          <w:shd w:val="clear" w:color="auto" w:fill="FFFFFF"/>
        </w:rPr>
        <w:t>ії (як тимчасового переведення)</w:t>
      </w:r>
      <w:r w:rsidRPr="00A12B5D">
        <w:rPr>
          <w:shd w:val="clear" w:color="auto" w:fill="FFFFFF"/>
        </w:rPr>
        <w:t xml:space="preserve"> строк відрядження судді може бути </w:t>
      </w:r>
      <w:bookmarkStart w:id="0" w:name="snippet_54657"/>
      <w:bookmarkEnd w:id="0"/>
      <w:r w:rsidRPr="00A12B5D">
        <w:rPr>
          <w:shd w:val="clear" w:color="auto" w:fill="FFFFFF"/>
        </w:rPr>
        <w:t>продовжено</w:t>
      </w:r>
      <w:r w:rsidRPr="00E94F3F">
        <w:rPr>
          <w:shd w:val="clear" w:color="auto" w:fill="FFFFFF"/>
        </w:rPr>
        <w:t xml:space="preserve"> </w:t>
      </w:r>
      <w:r w:rsidRPr="00A12B5D">
        <w:rPr>
          <w:shd w:val="clear" w:color="auto" w:fill="FFFFFF"/>
        </w:rPr>
        <w:t>рішенням Вищої ради правосуддя в межах загального річного строку.</w:t>
      </w:r>
      <w:bookmarkStart w:id="1" w:name="104"/>
      <w:bookmarkEnd w:id="1"/>
      <w:r w:rsidRPr="00A12B5D">
        <w:rPr>
          <w:shd w:val="clear" w:color="auto" w:fill="FFFFFF"/>
        </w:rPr>
        <w:t xml:space="preserve"> </w:t>
      </w:r>
      <w:bookmarkStart w:id="2" w:name="105"/>
      <w:bookmarkEnd w:id="2"/>
    </w:p>
    <w:p w:rsidR="00307CBF" w:rsidRPr="00F9641C" w:rsidRDefault="00307CBF" w:rsidP="00307CBF">
      <w:pPr>
        <w:spacing w:line="240" w:lineRule="auto"/>
        <w:ind w:firstLine="708"/>
        <w:contextualSpacing/>
        <w:jc w:val="both"/>
        <w:rPr>
          <w:shd w:val="clear" w:color="auto" w:fill="FFFFFF"/>
        </w:rPr>
      </w:pPr>
      <w:r w:rsidRPr="00F9641C">
        <w:rPr>
          <w:shd w:val="clear" w:color="auto" w:fill="FFFFFF"/>
        </w:rPr>
        <w:t xml:space="preserve">На думку Вищої ради правосуддя, задля вдосконалення функціонування правосуддя, унеможливлення багаторазового звернення </w:t>
      </w:r>
      <w:r>
        <w:rPr>
          <w:shd w:val="clear" w:color="auto" w:fill="FFFFFF"/>
        </w:rPr>
        <w:t>і</w:t>
      </w:r>
      <w:r w:rsidRPr="00F9641C">
        <w:rPr>
          <w:shd w:val="clear" w:color="auto" w:fill="FFFFFF"/>
        </w:rPr>
        <w:t>з заявою на продовження строку відрядження слід передбачити граничну кільк</w:t>
      </w:r>
      <w:r>
        <w:rPr>
          <w:shd w:val="clear" w:color="auto" w:fill="FFFFFF"/>
        </w:rPr>
        <w:t>ість можливих звернень (</w:t>
      </w:r>
      <w:r w:rsidRPr="00F9641C">
        <w:rPr>
          <w:shd w:val="clear" w:color="auto" w:fill="FFFFFF"/>
        </w:rPr>
        <w:t xml:space="preserve">один раз) з огляду на об’єктивність підстав та максимальний строк відрядження суддів (два роки). Такий підхід дасть можливість виключити ситуації зловживання правом звернення на продовження строку відрядження.   </w:t>
      </w:r>
    </w:p>
    <w:p w:rsidR="00307CBF" w:rsidRPr="00A12B5D" w:rsidRDefault="00307CBF" w:rsidP="00307CBF">
      <w:pPr>
        <w:spacing w:line="240" w:lineRule="auto"/>
        <w:ind w:firstLine="708"/>
        <w:contextualSpacing/>
        <w:jc w:val="both"/>
        <w:rPr>
          <w:shd w:val="clear" w:color="auto" w:fill="FFFFFF"/>
        </w:rPr>
      </w:pPr>
      <w:r>
        <w:rPr>
          <w:shd w:val="clear" w:color="auto" w:fill="FFFFFF"/>
        </w:rPr>
        <w:t>З огляду на викладене</w:t>
      </w:r>
      <w:r w:rsidRPr="00A12B5D">
        <w:rPr>
          <w:shd w:val="clear" w:color="auto" w:fill="FFFFFF"/>
        </w:rPr>
        <w:t xml:space="preserve"> вирішення питання про продовження строку відрядження не більше ніж на о</w:t>
      </w:r>
      <w:r>
        <w:rPr>
          <w:shd w:val="clear" w:color="auto" w:fill="FFFFFF"/>
        </w:rPr>
        <w:t>дин рік</w:t>
      </w:r>
      <w:r w:rsidRPr="00A12B5D">
        <w:rPr>
          <w:shd w:val="clear" w:color="auto" w:fill="FFFFFF"/>
        </w:rPr>
        <w:t xml:space="preserve"> за зверненням голови суду</w:t>
      </w:r>
      <w:r>
        <w:rPr>
          <w:shd w:val="clear" w:color="auto" w:fill="FFFFFF"/>
        </w:rPr>
        <w:t>,</w:t>
      </w:r>
      <w:r w:rsidRPr="00A12B5D">
        <w:rPr>
          <w:shd w:val="clear" w:color="auto" w:fill="FFFFFF"/>
        </w:rPr>
        <w:t xml:space="preserve"> у якому суддя перебував у відрядженні</w:t>
      </w:r>
      <w:r>
        <w:rPr>
          <w:shd w:val="clear" w:color="auto" w:fill="FFFFFF"/>
        </w:rPr>
        <w:t>,</w:t>
      </w:r>
      <w:r w:rsidRPr="00A12B5D">
        <w:rPr>
          <w:shd w:val="clear" w:color="auto" w:fill="FFFFFF"/>
        </w:rPr>
        <w:t xml:space="preserve"> д</w:t>
      </w:r>
      <w:r>
        <w:rPr>
          <w:shd w:val="clear" w:color="auto" w:fill="FFFFFF"/>
        </w:rPr>
        <w:t>о Вищої ради правосуддя та заявою</w:t>
      </w:r>
      <w:r w:rsidRPr="00A12B5D">
        <w:rPr>
          <w:shd w:val="clear" w:color="auto" w:fill="FFFFFF"/>
        </w:rPr>
        <w:t xml:space="preserve"> судді на продовження строку відрядження потребує доопрацювання.</w:t>
      </w:r>
    </w:p>
    <w:p w:rsidR="00307CBF" w:rsidRDefault="00307CBF" w:rsidP="00307CBF">
      <w:pPr>
        <w:spacing w:line="240" w:lineRule="auto"/>
        <w:ind w:firstLine="708"/>
        <w:contextualSpacing/>
        <w:jc w:val="both"/>
        <w:rPr>
          <w:shd w:val="clear" w:color="auto" w:fill="FFFFFF"/>
        </w:rPr>
      </w:pPr>
    </w:p>
    <w:p w:rsidR="00307CBF" w:rsidRDefault="00307CBF" w:rsidP="00307CBF">
      <w:pPr>
        <w:spacing w:line="240" w:lineRule="auto"/>
        <w:ind w:firstLine="708"/>
        <w:contextualSpacing/>
        <w:jc w:val="both"/>
        <w:rPr>
          <w:shd w:val="clear" w:color="auto" w:fill="FFFFFF"/>
        </w:rPr>
      </w:pPr>
      <w:r>
        <w:rPr>
          <w:shd w:val="clear" w:color="auto" w:fill="FFFFFF"/>
        </w:rPr>
        <w:t>4. Оскільки на сьогодні є проблема заповнення вакантних посад суддів, вважаємо, що процедура відрядження судді потребує удосконалення.</w:t>
      </w:r>
    </w:p>
    <w:p w:rsidR="00307CBF" w:rsidRDefault="00307CBF" w:rsidP="00307CBF">
      <w:pPr>
        <w:spacing w:line="240" w:lineRule="auto"/>
        <w:ind w:firstLine="708"/>
        <w:contextualSpacing/>
        <w:jc w:val="both"/>
        <w:rPr>
          <w:shd w:val="clear" w:color="auto" w:fill="FFFFFF"/>
        </w:rPr>
      </w:pPr>
      <w:r>
        <w:rPr>
          <w:shd w:val="clear" w:color="auto" w:fill="FFFFFF"/>
        </w:rPr>
        <w:t xml:space="preserve">Так, на законодавчому рівні функція Вищої кваліфікаційної комісії суддів України фактично зводиться до внесення подання про відрядження судді до Вищої ради правосуддя. </w:t>
      </w:r>
    </w:p>
    <w:p w:rsidR="00307CBF" w:rsidRDefault="00307CBF" w:rsidP="00307CBF">
      <w:pPr>
        <w:spacing w:line="240" w:lineRule="auto"/>
        <w:ind w:firstLine="708"/>
        <w:contextualSpacing/>
        <w:jc w:val="both"/>
        <w:rPr>
          <w:rFonts w:eastAsia="Times New Roman" w:cs="Times New Roman"/>
          <w:b/>
          <w:szCs w:val="28"/>
          <w:lang w:eastAsia="ru-RU"/>
        </w:rPr>
      </w:pPr>
      <w:r>
        <w:rPr>
          <w:shd w:val="clear" w:color="auto" w:fill="FFFFFF"/>
        </w:rPr>
        <w:t>Основні питання щодо визначення підстав</w:t>
      </w:r>
      <w:r w:rsidRPr="005E04E8">
        <w:rPr>
          <w:shd w:val="clear" w:color="auto" w:fill="FFFFFF"/>
        </w:rPr>
        <w:t xml:space="preserve"> для відрядження судді</w:t>
      </w:r>
      <w:r>
        <w:rPr>
          <w:shd w:val="clear" w:color="auto" w:fill="FFFFFF"/>
        </w:rPr>
        <w:t>,</w:t>
      </w:r>
      <w:r w:rsidRPr="005931EF">
        <w:rPr>
          <w:rFonts w:eastAsia="Times New Roman" w:cs="Times New Roman"/>
          <w:szCs w:val="28"/>
          <w:lang w:eastAsia="ru-RU"/>
        </w:rPr>
        <w:t xml:space="preserve"> </w:t>
      </w:r>
      <w:r w:rsidRPr="00084840">
        <w:rPr>
          <w:rFonts w:eastAsia="Times New Roman" w:cs="Times New Roman"/>
          <w:szCs w:val="28"/>
          <w:lang w:eastAsia="ru-RU"/>
        </w:rPr>
        <w:t>обставини,</w:t>
      </w:r>
      <w:r>
        <w:rPr>
          <w:rFonts w:eastAsia="Times New Roman" w:cs="Times New Roman"/>
          <w:szCs w:val="28"/>
          <w:lang w:eastAsia="ru-RU"/>
        </w:rPr>
        <w:t xml:space="preserve"> які підтверджують їх встановлення;</w:t>
      </w:r>
      <w:r w:rsidRPr="00084840">
        <w:rPr>
          <w:rFonts w:eastAsia="Times New Roman" w:cs="Times New Roman"/>
          <w:szCs w:val="28"/>
          <w:lang w:eastAsia="ru-RU"/>
        </w:rPr>
        <w:t xml:space="preserve"> кільк</w:t>
      </w:r>
      <w:r>
        <w:rPr>
          <w:rFonts w:eastAsia="Times New Roman" w:cs="Times New Roman"/>
          <w:szCs w:val="28"/>
          <w:lang w:eastAsia="ru-RU"/>
        </w:rPr>
        <w:t>ості суддів, що дасть змогу</w:t>
      </w:r>
      <w:r w:rsidRPr="00084840">
        <w:rPr>
          <w:rFonts w:eastAsia="Times New Roman" w:cs="Times New Roman"/>
          <w:szCs w:val="28"/>
          <w:lang w:eastAsia="ru-RU"/>
        </w:rPr>
        <w:t xml:space="preserve"> відновити здійснення судом правосуддя та/або врегулювати навантаження; строк відрядження, а також найменування судів, з яких можна відрядити суддів без суттєвого впливу на середній рівень судового навантаження та доступ до правосуддя в цих судах</w:t>
      </w:r>
      <w:r>
        <w:rPr>
          <w:shd w:val="clear" w:color="auto" w:fill="FFFFFF"/>
        </w:rPr>
        <w:t xml:space="preserve"> покладено на Державну судову адміністрацію України.</w:t>
      </w:r>
      <w:r w:rsidRPr="005E04E8">
        <w:rPr>
          <w:rFonts w:eastAsia="Times New Roman" w:cs="Times New Roman"/>
          <w:b/>
          <w:szCs w:val="28"/>
          <w:lang w:eastAsia="ru-RU"/>
        </w:rPr>
        <w:t xml:space="preserve"> </w:t>
      </w:r>
    </w:p>
    <w:p w:rsidR="00307CBF" w:rsidRDefault="00307CBF" w:rsidP="00307CBF">
      <w:pPr>
        <w:spacing w:line="240" w:lineRule="auto"/>
        <w:ind w:firstLine="708"/>
        <w:contextualSpacing/>
        <w:jc w:val="both"/>
        <w:rPr>
          <w:shd w:val="clear" w:color="auto" w:fill="FFFFFF"/>
        </w:rPr>
      </w:pPr>
      <w:r>
        <w:rPr>
          <w:shd w:val="clear" w:color="auto" w:fill="FFFFFF"/>
        </w:rPr>
        <w:t xml:space="preserve">З огляду на законодавчі зміни щодо порядку формування Вищої кваліфікаційної комісії суддів України та її повноважень, з метою оперативного </w:t>
      </w:r>
      <w:r>
        <w:rPr>
          <w:shd w:val="clear" w:color="auto" w:fill="FFFFFF"/>
        </w:rPr>
        <w:lastRenderedPageBreak/>
        <w:t xml:space="preserve">розгляду питань щодо відрядження суддів доцільно розглянути питання про зосередження повноважень щодо відрядження судді у Вищій раді правосуддя. </w:t>
      </w:r>
    </w:p>
    <w:p w:rsidR="00307CBF" w:rsidRPr="005931EF" w:rsidRDefault="00307CBF" w:rsidP="00307CBF">
      <w:pPr>
        <w:spacing w:line="240" w:lineRule="auto"/>
        <w:ind w:firstLine="708"/>
        <w:contextualSpacing/>
        <w:jc w:val="both"/>
        <w:rPr>
          <w:shd w:val="clear" w:color="auto" w:fill="FFFFFF"/>
        </w:rPr>
      </w:pPr>
      <w:r w:rsidRPr="005931EF">
        <w:rPr>
          <w:bCs/>
          <w:shd w:val="clear" w:color="auto" w:fill="FFFFFF"/>
        </w:rPr>
        <w:t>Європейськ</w:t>
      </w:r>
      <w:r>
        <w:rPr>
          <w:bCs/>
          <w:shd w:val="clear" w:color="auto" w:fill="FFFFFF"/>
        </w:rPr>
        <w:t>а комісія</w:t>
      </w:r>
      <w:r w:rsidRPr="005931EF">
        <w:rPr>
          <w:bCs/>
          <w:shd w:val="clear" w:color="auto" w:fill="FFFFFF"/>
        </w:rPr>
        <w:t xml:space="preserve"> за демократію через право (Венеційська комісія) </w:t>
      </w:r>
      <w:r>
        <w:rPr>
          <w:bCs/>
          <w:shd w:val="clear" w:color="auto" w:fill="FFFFFF"/>
        </w:rPr>
        <w:t xml:space="preserve"> у своєму висновку </w:t>
      </w:r>
      <w:r w:rsidRPr="005931EF">
        <w:rPr>
          <w:bCs/>
          <w:shd w:val="clear" w:color="auto" w:fill="FFFFFF"/>
        </w:rPr>
        <w:t xml:space="preserve">щодо </w:t>
      </w:r>
      <w:r w:rsidRPr="005931EF">
        <w:rPr>
          <w:shd w:val="clear" w:color="auto" w:fill="FFFFFF"/>
        </w:rPr>
        <w:t xml:space="preserve">пропозицій стосовно внесення змін до проекту </w:t>
      </w:r>
      <w:r>
        <w:rPr>
          <w:shd w:val="clear" w:color="auto" w:fill="FFFFFF"/>
        </w:rPr>
        <w:t>З</w:t>
      </w:r>
      <w:r w:rsidRPr="005931EF">
        <w:rPr>
          <w:shd w:val="clear" w:color="auto" w:fill="FFFFFF"/>
        </w:rPr>
        <w:t>акону</w:t>
      </w:r>
      <w:r>
        <w:rPr>
          <w:shd w:val="clear" w:color="auto" w:fill="FFFFFF"/>
        </w:rPr>
        <w:t xml:space="preserve"> України «П</w:t>
      </w:r>
      <w:r w:rsidRPr="005931EF">
        <w:rPr>
          <w:shd w:val="clear" w:color="auto" w:fill="FFFFFF"/>
        </w:rPr>
        <w:t xml:space="preserve">ро внесення змін до </w:t>
      </w:r>
      <w:r>
        <w:rPr>
          <w:shd w:val="clear" w:color="auto" w:fill="FFFFFF"/>
        </w:rPr>
        <w:t>К</w:t>
      </w:r>
      <w:r w:rsidRPr="005931EF">
        <w:rPr>
          <w:shd w:val="clear" w:color="auto" w:fill="FFFFFF"/>
        </w:rPr>
        <w:t>онституції щодо посилення незалежності суддів</w:t>
      </w:r>
      <w:r>
        <w:rPr>
          <w:shd w:val="clear" w:color="auto" w:fill="FFFFFF"/>
        </w:rPr>
        <w:t xml:space="preserve"> України» зазначила:</w:t>
      </w:r>
      <w:r w:rsidRPr="005931EF">
        <w:rPr>
          <w:shd w:val="clear" w:color="auto" w:fill="FFFFFF"/>
        </w:rPr>
        <w:t xml:space="preserve"> </w:t>
      </w:r>
      <w:r>
        <w:rPr>
          <w:shd w:val="clear" w:color="auto" w:fill="FFFFFF"/>
        </w:rPr>
        <w:t>«</w:t>
      </w:r>
      <w:r w:rsidRPr="005931EF">
        <w:rPr>
          <w:shd w:val="clear" w:color="auto" w:fill="FFFFFF"/>
        </w:rPr>
        <w:t>Здається нелогічним передати повноваження з переве</w:t>
      </w:r>
      <w:r>
        <w:rPr>
          <w:shd w:val="clear" w:color="auto" w:fill="FFFFFF"/>
        </w:rPr>
        <w:t>дення суддів органу під назвою «</w:t>
      </w:r>
      <w:r w:rsidRPr="005931EF">
        <w:rPr>
          <w:shd w:val="clear" w:color="auto" w:fill="FFFFFF"/>
        </w:rPr>
        <w:t>кваліфікаційна комі</w:t>
      </w:r>
      <w:r>
        <w:rPr>
          <w:shd w:val="clear" w:color="auto" w:fill="FFFFFF"/>
        </w:rPr>
        <w:t>сія»</w:t>
      </w:r>
      <w:r w:rsidRPr="005931EF">
        <w:rPr>
          <w:shd w:val="clear" w:color="auto" w:fill="FFFFFF"/>
        </w:rPr>
        <w:t xml:space="preserve">, в той час цей орган позбавляють компетенції вносити пропозиції щодо посади судді. Якщо Вища кваліфікаційна комісія суддів буде збережена як окремий орган, вона повинна опікуватися кваліфікацією, а не переведенням суддів. </w:t>
      </w:r>
    </w:p>
    <w:p w:rsidR="00307CBF" w:rsidRDefault="00307CBF" w:rsidP="00307CBF">
      <w:pPr>
        <w:spacing w:line="240" w:lineRule="auto"/>
        <w:ind w:firstLine="708"/>
        <w:contextualSpacing/>
        <w:jc w:val="both"/>
        <w:rPr>
          <w:shd w:val="clear" w:color="auto" w:fill="FFFFFF"/>
        </w:rPr>
      </w:pPr>
      <w:r w:rsidRPr="005931EF">
        <w:rPr>
          <w:shd w:val="clear" w:color="auto" w:fill="FFFFFF"/>
        </w:rPr>
        <w:t>В ідеалі, в цілях забезпечення узг</w:t>
      </w:r>
      <w:r>
        <w:rPr>
          <w:shd w:val="clear" w:color="auto" w:fill="FFFFFF"/>
        </w:rPr>
        <w:t>одженого підходу до судової кар’єри</w:t>
      </w:r>
      <w:r w:rsidRPr="005931EF">
        <w:rPr>
          <w:shd w:val="clear" w:color="auto" w:fill="FFFFFF"/>
        </w:rPr>
        <w:t xml:space="preserve"> ВККСУ повинна стати частиною ВРЮ, можливо, як підрозділ, що відповідає за добір кандидатів на суддівські посади. Хоча не існує жодного європейського стандарту, який би визначав, що </w:t>
      </w:r>
      <w:r>
        <w:rPr>
          <w:shd w:val="clear" w:color="auto" w:fill="FFFFFF"/>
        </w:rPr>
        <w:t>питання щодо призначення та кар</w:t>
      </w:r>
      <w:r w:rsidRPr="005931EF">
        <w:rPr>
          <w:shd w:val="clear" w:color="auto" w:fill="FFFFFF"/>
        </w:rPr>
        <w:t>’єри суддів повинні розглядатися єдиним органом</w:t>
      </w:r>
      <w:r>
        <w:rPr>
          <w:shd w:val="clear" w:color="auto" w:fill="FFFFFF"/>
        </w:rPr>
        <w:t>»</w:t>
      </w:r>
      <w:r>
        <w:rPr>
          <w:rStyle w:val="a6"/>
          <w:shd w:val="clear" w:color="auto" w:fill="FFFFFF"/>
        </w:rPr>
        <w:footnoteReference w:id="4"/>
      </w:r>
      <w:r>
        <w:rPr>
          <w:shd w:val="clear" w:color="auto" w:fill="FFFFFF"/>
        </w:rPr>
        <w:t>.</w:t>
      </w:r>
    </w:p>
    <w:p w:rsidR="00307CBF" w:rsidRDefault="00307CBF" w:rsidP="00307CBF">
      <w:pPr>
        <w:spacing w:line="240" w:lineRule="auto"/>
        <w:ind w:firstLine="708"/>
        <w:contextualSpacing/>
        <w:jc w:val="both"/>
        <w:rPr>
          <w:shd w:val="clear" w:color="auto" w:fill="FFFFFF"/>
        </w:rPr>
      </w:pPr>
      <w:r w:rsidRPr="009E6376">
        <w:rPr>
          <w:shd w:val="clear" w:color="auto" w:fill="FFFFFF"/>
        </w:rPr>
        <w:t>Усі органи, які наділені відповідними повноваженнями суддівського врядування, повинні бути створені та функціонувати відповідно до чинних міжнародних стандартів для судових рад</w:t>
      </w:r>
      <w:r>
        <w:rPr>
          <w:shd w:val="clear" w:color="auto" w:fill="FFFFFF"/>
        </w:rPr>
        <w:t>. У численних висновках Венецій</w:t>
      </w:r>
      <w:r w:rsidRPr="009E6376">
        <w:rPr>
          <w:shd w:val="clear" w:color="auto" w:fill="FFFFFF"/>
        </w:rPr>
        <w:t>ська комісія наполягала на тому, що система судового врядування повинна бути узгодженою</w:t>
      </w:r>
      <w:r>
        <w:rPr>
          <w:shd w:val="clear" w:color="auto" w:fill="FFFFFF"/>
        </w:rPr>
        <w:t>,</w:t>
      </w:r>
      <w:r w:rsidRPr="009E6376">
        <w:rPr>
          <w:shd w:val="clear" w:color="auto" w:fill="FFFFFF"/>
        </w:rPr>
        <w:t xml:space="preserve"> та рекомендувала спростити структуру органів судового врядування в Україні, зокрема, стосовно паралельного існування В</w:t>
      </w:r>
      <w:r>
        <w:rPr>
          <w:shd w:val="clear" w:color="auto" w:fill="FFFFFF"/>
        </w:rPr>
        <w:t>ищої ради правосуддя,</w:t>
      </w:r>
      <w:r w:rsidRPr="009E6376">
        <w:rPr>
          <w:shd w:val="clear" w:color="auto" w:fill="FFFFFF"/>
        </w:rPr>
        <w:t xml:space="preserve"> яка є конституційним органом, і В</w:t>
      </w:r>
      <w:r>
        <w:rPr>
          <w:shd w:val="clear" w:color="auto" w:fill="FFFFFF"/>
        </w:rPr>
        <w:t>ищої кваліфікаційної комісії суддів України</w:t>
      </w:r>
      <w:r w:rsidRPr="009E6376">
        <w:rPr>
          <w:shd w:val="clear" w:color="auto" w:fill="FFFFFF"/>
        </w:rPr>
        <w:t>, яка має свою правову основу лише в законі</w:t>
      </w:r>
      <w:r>
        <w:rPr>
          <w:rStyle w:val="a6"/>
          <w:shd w:val="clear" w:color="auto" w:fill="FFFFFF"/>
        </w:rPr>
        <w:footnoteReference w:id="5"/>
      </w:r>
      <w:r w:rsidRPr="009E6376">
        <w:rPr>
          <w:shd w:val="clear" w:color="auto" w:fill="FFFFFF"/>
        </w:rPr>
        <w:t>.</w:t>
      </w:r>
    </w:p>
    <w:p w:rsidR="00307CBF" w:rsidRPr="00F9641C" w:rsidRDefault="00307CBF" w:rsidP="00307CBF">
      <w:pPr>
        <w:spacing w:line="240" w:lineRule="auto"/>
        <w:ind w:firstLine="708"/>
        <w:contextualSpacing/>
        <w:jc w:val="both"/>
        <w:rPr>
          <w:shd w:val="clear" w:color="auto" w:fill="FFFFFF"/>
        </w:rPr>
      </w:pPr>
      <w:r w:rsidRPr="00F9641C">
        <w:rPr>
          <w:shd w:val="clear" w:color="auto" w:fill="FFFFFF"/>
        </w:rPr>
        <w:t>З огляду на зазначене пропонуємо у частині першій статті 55 Закону України «Про судоустрій і статус суддів» закріпити норму, що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з урахуванням рекомендацій Державної судової адміністрації України, суддя може бути, за його згодою, відряджений до іншого суду того самого рівня і спеціалізації для здійснення правосуддя.</w:t>
      </w:r>
    </w:p>
    <w:p w:rsidR="00307CBF" w:rsidRPr="00F9641C" w:rsidRDefault="00307CBF" w:rsidP="00307CBF">
      <w:pPr>
        <w:spacing w:line="240" w:lineRule="auto"/>
        <w:ind w:firstLine="708"/>
        <w:contextualSpacing/>
        <w:jc w:val="both"/>
        <w:rPr>
          <w:shd w:val="clear" w:color="auto" w:fill="FFFFFF"/>
        </w:rPr>
      </w:pPr>
      <w:r>
        <w:rPr>
          <w:shd w:val="clear" w:color="auto" w:fill="FFFFFF"/>
        </w:rPr>
        <w:t>К</w:t>
      </w:r>
      <w:r w:rsidRPr="00F9641C">
        <w:rPr>
          <w:shd w:val="clear" w:color="auto" w:fill="FFFFFF"/>
        </w:rPr>
        <w:t>рім цього</w:t>
      </w:r>
      <w:r>
        <w:rPr>
          <w:shd w:val="clear" w:color="auto" w:fill="FFFFFF"/>
        </w:rPr>
        <w:t>, необхідно</w:t>
      </w:r>
      <w:r w:rsidRPr="00F9641C">
        <w:rPr>
          <w:shd w:val="clear" w:color="auto" w:fill="FFFFFF"/>
        </w:rPr>
        <w:t xml:space="preserve"> у частині третій статті 82 Закону України «Про судоустрій і статус суддів» передбачити норму, якою визначити, що переведення судді на посаду судді до іншого суду того самого або нижчого рівня може здійснюватися за рішенням Вищої ради правосуддя без конкурсу тільки у випадках реорганізації, ліквідації або припинення роботи суду, в якому такий суддя обіймає посаду судді.</w:t>
      </w:r>
    </w:p>
    <w:p w:rsidR="00307CBF" w:rsidRDefault="00307CBF" w:rsidP="00307CBF">
      <w:pPr>
        <w:spacing w:line="240" w:lineRule="auto"/>
        <w:ind w:firstLine="708"/>
        <w:contextualSpacing/>
        <w:jc w:val="both"/>
        <w:rPr>
          <w:shd w:val="clear" w:color="auto" w:fill="FFFFFF"/>
        </w:rPr>
      </w:pPr>
      <w:r>
        <w:rPr>
          <w:shd w:val="clear" w:color="auto" w:fill="FFFFFF"/>
        </w:rPr>
        <w:t xml:space="preserve">Такі законодавчі зміни надають змогу пришвидшити врегулювання питання щодо заповнення вакантних посад суддів, забезпечити рівномірне </w:t>
      </w:r>
      <w:r>
        <w:rPr>
          <w:shd w:val="clear" w:color="auto" w:fill="FFFFFF"/>
        </w:rPr>
        <w:lastRenderedPageBreak/>
        <w:t>навантаження в судах та зменшити суспільний резонанс щодо належного функціонування судової системи.</w:t>
      </w:r>
    </w:p>
    <w:p w:rsidR="00307CBF" w:rsidRDefault="00307CBF" w:rsidP="00307CBF">
      <w:pPr>
        <w:spacing w:line="240" w:lineRule="auto"/>
        <w:contextualSpacing/>
        <w:jc w:val="both"/>
        <w:rPr>
          <w:shd w:val="clear" w:color="auto" w:fill="FFFFFF"/>
        </w:rPr>
      </w:pPr>
    </w:p>
    <w:p w:rsidR="00307CBF" w:rsidRDefault="00307CBF" w:rsidP="00307CBF">
      <w:pPr>
        <w:spacing w:after="0" w:line="240" w:lineRule="auto"/>
        <w:ind w:firstLine="709"/>
        <w:contextualSpacing/>
        <w:jc w:val="both"/>
      </w:pPr>
      <w:r>
        <w:rPr>
          <w:shd w:val="clear" w:color="auto" w:fill="FFFFFF"/>
        </w:rPr>
        <w:t xml:space="preserve">5. </w:t>
      </w:r>
      <w:r>
        <w:t xml:space="preserve">Вимоги до нормативно-правових актів можуть бути розподілені на змістовні і процедурні. Змістовні вимоги потребують, щоб нормативно-правові акти були зрозумілими (доступними), несуперечливими і пропонували повне врегулювання суспільних відносин, не допускаючи існування прогалин. Цьому сприяє однозначне та відносно стійке значення понять, які використовуються в законодавстві, що також може бути досягнуто за допомогою правових дефініцій. </w:t>
      </w:r>
    </w:p>
    <w:p w:rsidR="00307CBF" w:rsidRPr="00964660" w:rsidRDefault="00307CBF" w:rsidP="00307CBF">
      <w:pPr>
        <w:pStyle w:val="a3"/>
        <w:ind w:firstLine="709"/>
        <w:jc w:val="both"/>
        <w:rPr>
          <w:rFonts w:cs="Times New Roman"/>
          <w:i/>
          <w:szCs w:val="28"/>
          <w:lang w:val="ru-RU"/>
        </w:rPr>
      </w:pPr>
      <w:r w:rsidRPr="00C444F1">
        <w:rPr>
          <w:rFonts w:cs="Times New Roman"/>
          <w:szCs w:val="28"/>
          <w:shd w:val="clear" w:color="auto" w:fill="FFFFFF"/>
        </w:rPr>
        <w:t>Венеційська комісія у своєму висновку щодо Румунії зазначила: </w:t>
      </w:r>
      <w:r w:rsidRPr="00964660">
        <w:rPr>
          <w:rStyle w:val="a7"/>
          <w:i w:val="0"/>
          <w:szCs w:val="28"/>
          <w:bdr w:val="none" w:sz="0" w:space="0" w:color="auto" w:frame="1"/>
          <w:shd w:val="clear" w:color="auto" w:fill="FFFFFF"/>
        </w:rPr>
        <w:t>«відповідно до контрольного списку критеріїв верховенства права ясність, передбачуваність, послідовність і узгодженість законодавчих рамок, а також стабільність законодавства є основними цілями для будь-якого правового порядку, заснованого на принципах верховенства права»</w:t>
      </w:r>
      <w:r w:rsidRPr="00964660">
        <w:rPr>
          <w:rStyle w:val="a6"/>
          <w:iCs/>
          <w:szCs w:val="28"/>
          <w:bdr w:val="none" w:sz="0" w:space="0" w:color="auto" w:frame="1"/>
          <w:shd w:val="clear" w:color="auto" w:fill="FFFFFF"/>
        </w:rPr>
        <w:footnoteReference w:id="6"/>
      </w:r>
      <w:r w:rsidRPr="00964660">
        <w:rPr>
          <w:rFonts w:cs="Times New Roman"/>
          <w:szCs w:val="28"/>
          <w:lang w:val="ru-RU"/>
        </w:rPr>
        <w:t>.</w:t>
      </w:r>
    </w:p>
    <w:p w:rsidR="00307CBF" w:rsidRDefault="00307CBF" w:rsidP="00307CBF">
      <w:pPr>
        <w:tabs>
          <w:tab w:val="left" w:pos="709"/>
        </w:tabs>
        <w:spacing w:after="0" w:line="240" w:lineRule="auto"/>
        <w:contextualSpacing/>
        <w:jc w:val="both"/>
        <w:rPr>
          <w:rFonts w:cs="Times New Roman"/>
          <w:szCs w:val="28"/>
        </w:rPr>
      </w:pPr>
      <w:r>
        <w:rPr>
          <w:shd w:val="clear" w:color="auto" w:fill="FFFFFF"/>
        </w:rPr>
        <w:tab/>
      </w:r>
      <w:r w:rsidRPr="005F6047">
        <w:rPr>
          <w:rFonts w:cs="Times New Roman"/>
          <w:szCs w:val="28"/>
        </w:rPr>
        <w:t>Відповідно до загальних вимог нормотворчої техніки проекти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w:t>
      </w:r>
      <w:r>
        <w:rPr>
          <w:rFonts w:cs="Times New Roman"/>
          <w:szCs w:val="28"/>
        </w:rPr>
        <w:t xml:space="preserve">ислими, чіткими і недвозначними. </w:t>
      </w:r>
    </w:p>
    <w:p w:rsidR="00307CBF" w:rsidRDefault="00307CBF" w:rsidP="00307CBF">
      <w:pPr>
        <w:tabs>
          <w:tab w:val="left" w:pos="993"/>
        </w:tabs>
        <w:spacing w:after="0" w:line="240" w:lineRule="auto"/>
        <w:ind w:firstLine="709"/>
        <w:contextualSpacing/>
        <w:jc w:val="both"/>
        <w:rPr>
          <w:rFonts w:cs="Times New Roman"/>
          <w:szCs w:val="28"/>
        </w:rPr>
      </w:pPr>
    </w:p>
    <w:p w:rsidR="00307CBF" w:rsidRPr="008C4136" w:rsidRDefault="00307CBF" w:rsidP="00307CBF">
      <w:pPr>
        <w:spacing w:after="0" w:line="240" w:lineRule="auto"/>
        <w:ind w:firstLine="708"/>
        <w:contextualSpacing/>
        <w:jc w:val="both"/>
        <w:rPr>
          <w:rFonts w:cs="Times New Roman"/>
          <w:b/>
          <w:szCs w:val="28"/>
        </w:rPr>
      </w:pPr>
      <w:r w:rsidRPr="008C4136">
        <w:rPr>
          <w:rFonts w:cs="Times New Roman"/>
          <w:b/>
          <w:szCs w:val="28"/>
        </w:rPr>
        <w:t>З огляду на викладене Вища рада правосудд</w:t>
      </w:r>
      <w:r>
        <w:rPr>
          <w:rFonts w:cs="Times New Roman"/>
          <w:b/>
          <w:szCs w:val="28"/>
        </w:rPr>
        <w:t>я в межах компетенції  підтримує законопроект № 2823 за умови врахування наданих пропозицій.</w:t>
      </w:r>
    </w:p>
    <w:p w:rsidR="00307CBF" w:rsidRDefault="00307CBF">
      <w:bookmarkStart w:id="3" w:name="_GoBack"/>
      <w:bookmarkEnd w:id="3"/>
    </w:p>
    <w:sectPr w:rsidR="00307CBF">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CBF" w:rsidRDefault="00307CBF" w:rsidP="00307CBF">
      <w:pPr>
        <w:spacing w:after="0" w:line="240" w:lineRule="auto"/>
      </w:pPr>
      <w:r>
        <w:separator/>
      </w:r>
    </w:p>
  </w:endnote>
  <w:endnote w:type="continuationSeparator" w:id="0">
    <w:p w:rsidR="00307CBF" w:rsidRDefault="00307CBF" w:rsidP="0030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CBF" w:rsidRDefault="00307CBF" w:rsidP="00307CBF">
      <w:pPr>
        <w:spacing w:after="0" w:line="240" w:lineRule="auto"/>
      </w:pPr>
      <w:r>
        <w:separator/>
      </w:r>
    </w:p>
  </w:footnote>
  <w:footnote w:type="continuationSeparator" w:id="0">
    <w:p w:rsidR="00307CBF" w:rsidRDefault="00307CBF" w:rsidP="00307CBF">
      <w:pPr>
        <w:spacing w:after="0" w:line="240" w:lineRule="auto"/>
      </w:pPr>
      <w:r>
        <w:continuationSeparator/>
      </w:r>
    </w:p>
  </w:footnote>
  <w:footnote w:id="1">
    <w:p w:rsidR="00307CBF" w:rsidRPr="005C55F0" w:rsidRDefault="00307CBF" w:rsidP="00307CBF">
      <w:pPr>
        <w:autoSpaceDE w:val="0"/>
        <w:autoSpaceDN w:val="0"/>
        <w:adjustRightInd w:val="0"/>
        <w:spacing w:after="0" w:line="240" w:lineRule="auto"/>
        <w:jc w:val="both"/>
        <w:rPr>
          <w:rFonts w:cs="Times New Roman"/>
          <w:sz w:val="20"/>
          <w:szCs w:val="20"/>
          <w:lang w:eastAsia="ru-RU"/>
        </w:rPr>
      </w:pPr>
      <w:r w:rsidRPr="005C55F0">
        <w:rPr>
          <w:rStyle w:val="a6"/>
          <w:sz w:val="20"/>
          <w:szCs w:val="20"/>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307CBF" w:rsidRPr="005C55F0" w:rsidRDefault="00307CBF" w:rsidP="00307CBF">
      <w:pPr>
        <w:pStyle w:val="a4"/>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 w:id="2">
    <w:p w:rsidR="00307CBF" w:rsidRDefault="00307CBF" w:rsidP="00307CBF">
      <w:pPr>
        <w:pStyle w:val="a4"/>
      </w:pPr>
      <w:r>
        <w:rPr>
          <w:rStyle w:val="a6"/>
        </w:rPr>
        <w:footnoteRef/>
      </w:r>
      <w:r>
        <w:t xml:space="preserve"> Рекомендація CM/</w:t>
      </w:r>
      <w:proofErr w:type="spellStart"/>
      <w:r>
        <w:t>Rec</w:t>
      </w:r>
      <w:proofErr w:type="spellEnd"/>
      <w:r>
        <w:t xml:space="preserve"> (2010) 12 Комітету Міністрів Ради Європи державам-членам щодо суддів: незалежність, ефективність та обов'язки. Пункти 35,36.</w:t>
      </w:r>
    </w:p>
  </w:footnote>
  <w:footnote w:id="3">
    <w:p w:rsidR="00307CBF" w:rsidRPr="00E8320A" w:rsidRDefault="00307CBF" w:rsidP="00307CBF">
      <w:pPr>
        <w:jc w:val="both"/>
        <w:rPr>
          <w:sz w:val="20"/>
          <w:szCs w:val="20"/>
        </w:rPr>
      </w:pPr>
      <w:r w:rsidRPr="00E8320A">
        <w:rPr>
          <w:rStyle w:val="a6"/>
          <w:sz w:val="20"/>
          <w:szCs w:val="20"/>
        </w:rPr>
        <w:footnoteRef/>
      </w:r>
      <w:r w:rsidRPr="00E8320A">
        <w:rPr>
          <w:sz w:val="20"/>
          <w:szCs w:val="20"/>
        </w:rPr>
        <w:t xml:space="preserve"> Рекомендація CM/</w:t>
      </w:r>
      <w:proofErr w:type="spellStart"/>
      <w:r w:rsidRPr="00E8320A">
        <w:rPr>
          <w:sz w:val="20"/>
          <w:szCs w:val="20"/>
        </w:rPr>
        <w:t>Rec</w:t>
      </w:r>
      <w:proofErr w:type="spellEnd"/>
      <w:r w:rsidRPr="00E8320A">
        <w:rPr>
          <w:sz w:val="20"/>
          <w:szCs w:val="20"/>
        </w:rPr>
        <w:t xml:space="preserve"> (2010) 12 Комітету Міністрів Ради Європи державам-членам щодо суддів: незалежність, ефективність та обов'язки.</w:t>
      </w:r>
      <w:r>
        <w:rPr>
          <w:sz w:val="20"/>
          <w:szCs w:val="20"/>
        </w:rPr>
        <w:t xml:space="preserve"> Пункт 52.</w:t>
      </w:r>
    </w:p>
    <w:p w:rsidR="00307CBF" w:rsidRDefault="00307CBF" w:rsidP="00307CBF">
      <w:pPr>
        <w:pStyle w:val="a4"/>
      </w:pPr>
    </w:p>
  </w:footnote>
  <w:footnote w:id="4">
    <w:p w:rsidR="00307CBF" w:rsidRDefault="00307CBF" w:rsidP="00307CBF">
      <w:pPr>
        <w:pStyle w:val="a4"/>
        <w:jc w:val="both"/>
      </w:pPr>
      <w:r>
        <w:rPr>
          <w:rStyle w:val="a6"/>
        </w:rPr>
        <w:footnoteRef/>
      </w:r>
      <w:r>
        <w:t xml:space="preserve"> </w:t>
      </w:r>
      <w:r w:rsidRPr="005931EF">
        <w:rPr>
          <w:bCs/>
        </w:rPr>
        <w:t>Висновок</w:t>
      </w:r>
      <w:r w:rsidRPr="005931EF">
        <w:rPr>
          <w:b/>
        </w:rPr>
        <w:t xml:space="preserve"> </w:t>
      </w:r>
      <w:r w:rsidRPr="005931EF">
        <w:rPr>
          <w:bCs/>
        </w:rPr>
        <w:t xml:space="preserve">Європейської комісії за демократію через право (Венеційська комісія) щодо </w:t>
      </w:r>
      <w:r w:rsidRPr="005931EF">
        <w:t xml:space="preserve">пропозицій стосовно внесення змін до проекту закону про внесення змін до </w:t>
      </w:r>
      <w:r>
        <w:t>к</w:t>
      </w:r>
      <w:r w:rsidRPr="005931EF">
        <w:t xml:space="preserve">онституції щодо посилення незалежності суддів України </w:t>
      </w:r>
      <w:r w:rsidRPr="005931EF">
        <w:rPr>
          <w:bCs/>
        </w:rPr>
        <w:t xml:space="preserve">(№ 797/2010 від 10 грудня 2013 року, </w:t>
      </w:r>
      <w:r w:rsidRPr="005931EF">
        <w:t>CDL-D (2013) 034</w:t>
      </w:r>
      <w:r w:rsidRPr="005931EF">
        <w:rPr>
          <w:bCs/>
        </w:rPr>
        <w:t>), пункти 33</w:t>
      </w:r>
      <w:r>
        <w:rPr>
          <w:rFonts w:eastAsia="Times New Roman" w:cs="Times New Roman"/>
          <w:color w:val="000000"/>
          <w:sz w:val="28"/>
          <w:szCs w:val="28"/>
          <w:lang w:eastAsia="uk-UA"/>
        </w:rPr>
        <w:t>–</w:t>
      </w:r>
      <w:r w:rsidRPr="005931EF">
        <w:rPr>
          <w:bCs/>
        </w:rPr>
        <w:t>35.</w:t>
      </w:r>
    </w:p>
  </w:footnote>
  <w:footnote w:id="5">
    <w:p w:rsidR="00307CBF" w:rsidRPr="009E6376" w:rsidRDefault="00307CBF" w:rsidP="00307CBF">
      <w:pPr>
        <w:pStyle w:val="a4"/>
        <w:jc w:val="both"/>
      </w:pPr>
      <w:r>
        <w:rPr>
          <w:rStyle w:val="a6"/>
        </w:rPr>
        <w:footnoteRef/>
      </w:r>
      <w:r>
        <w:t xml:space="preserve"> </w:t>
      </w:r>
      <w:r w:rsidRPr="009E6376">
        <w:t xml:space="preserve">Висновок </w:t>
      </w:r>
      <w:r w:rsidRPr="009E6376">
        <w:rPr>
          <w:bCs/>
        </w:rPr>
        <w:t>Європейської комісії за демократію через право (</w:t>
      </w:r>
      <w:r w:rsidRPr="009E6376">
        <w:t xml:space="preserve">Венеційської комісії) щодо змін до законодавчих актів, які регулюють статус Верховного Суду та органів суддівського врядування (№ 969/2019 від 9 грудня </w:t>
      </w:r>
      <w:r>
        <w:t xml:space="preserve">   </w:t>
      </w:r>
      <w:r w:rsidRPr="009E6376">
        <w:t>2019 року, CDL (2019) 027), пункти 17</w:t>
      </w:r>
      <w:r>
        <w:rPr>
          <w:rFonts w:eastAsia="Times New Roman" w:cs="Times New Roman"/>
          <w:color w:val="000000"/>
          <w:sz w:val="28"/>
          <w:szCs w:val="28"/>
          <w:lang w:eastAsia="uk-UA"/>
        </w:rPr>
        <w:t>–</w:t>
      </w:r>
      <w:r w:rsidRPr="009E6376">
        <w:t>19.</w:t>
      </w:r>
    </w:p>
    <w:p w:rsidR="00307CBF" w:rsidRDefault="00307CBF" w:rsidP="00307CBF">
      <w:pPr>
        <w:pStyle w:val="a4"/>
      </w:pPr>
    </w:p>
  </w:footnote>
  <w:footnote w:id="6">
    <w:p w:rsidR="00307CBF" w:rsidRDefault="00307CBF" w:rsidP="00307CBF">
      <w:pPr>
        <w:pStyle w:val="a4"/>
        <w:jc w:val="both"/>
      </w:pPr>
      <w:r>
        <w:rPr>
          <w:rStyle w:val="a6"/>
        </w:rPr>
        <w:footnoteRef/>
      </w:r>
      <w:r>
        <w:t xml:space="preserve"> </w:t>
      </w:r>
      <w:r w:rsidRPr="00DD1CFE">
        <w:rPr>
          <w:rFonts w:cs="Times New Roman"/>
          <w:color w:val="000000"/>
          <w:shd w:val="clear" w:color="auto" w:fill="FFFFFF"/>
        </w:rPr>
        <w:t>CDL-AD(2019)014, Румунія – Висновок щодо Надзвичайних розпоряджень уряду № 7 і № 12, доповн</w:t>
      </w:r>
      <w:r>
        <w:rPr>
          <w:rFonts w:cs="Times New Roman"/>
          <w:color w:val="000000"/>
          <w:shd w:val="clear" w:color="auto" w:fill="FFFFFF"/>
        </w:rPr>
        <w:t>ених Законами про правосуддя, пункт</w:t>
      </w:r>
      <w:r w:rsidRPr="00DD1CFE">
        <w:rPr>
          <w:rFonts w:cs="Times New Roman"/>
          <w:color w:val="000000"/>
          <w:shd w:val="clear" w:color="auto" w:fill="FFFFFF"/>
        </w:rPr>
        <w:t xml:space="preserve"> 14</w:t>
      </w:r>
      <w:r>
        <w:rPr>
          <w:rFonts w:cs="Times New Roman"/>
          <w:color w:val="000000"/>
          <w:shd w:val="clear" w:color="auto" w:fill="FFFFFF"/>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73"/>
    <w:rsid w:val="00137192"/>
    <w:rsid w:val="002270C0"/>
    <w:rsid w:val="00277473"/>
    <w:rsid w:val="00291C12"/>
    <w:rsid w:val="00307CBF"/>
    <w:rsid w:val="00964660"/>
    <w:rsid w:val="00D527E7"/>
    <w:rsid w:val="00E314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B95AA"/>
  <w15:chartTrackingRefBased/>
  <w15:docId w15:val="{4E25F9CA-EEEF-4611-B37A-450AA4C30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CBF"/>
    <w:pPr>
      <w:spacing w:after="200" w:line="276" w:lineRule="auto"/>
    </w:pPr>
    <w:rPr>
      <w:rFonts w:ascii="Times New Roman" w:eastAsia="Calibri"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7CBF"/>
    <w:pPr>
      <w:spacing w:after="0" w:line="240" w:lineRule="auto"/>
    </w:pPr>
    <w:rPr>
      <w:rFonts w:ascii="Times New Roman" w:eastAsia="Calibri" w:hAnsi="Times New Roman" w:cs="Calibri"/>
      <w:sz w:val="28"/>
    </w:rPr>
  </w:style>
  <w:style w:type="paragraph" w:styleId="a4">
    <w:name w:val="footnote text"/>
    <w:basedOn w:val="a"/>
    <w:link w:val="a5"/>
    <w:uiPriority w:val="99"/>
    <w:rsid w:val="00307CBF"/>
    <w:pPr>
      <w:spacing w:after="0" w:line="240" w:lineRule="auto"/>
    </w:pPr>
    <w:rPr>
      <w:sz w:val="20"/>
      <w:szCs w:val="20"/>
    </w:rPr>
  </w:style>
  <w:style w:type="character" w:customStyle="1" w:styleId="a5">
    <w:name w:val="Текст виноски Знак"/>
    <w:basedOn w:val="a0"/>
    <w:link w:val="a4"/>
    <w:uiPriority w:val="99"/>
    <w:rsid w:val="00307CBF"/>
    <w:rPr>
      <w:rFonts w:ascii="Times New Roman" w:eastAsia="Calibri" w:hAnsi="Times New Roman" w:cs="Calibri"/>
      <w:sz w:val="20"/>
      <w:szCs w:val="20"/>
    </w:rPr>
  </w:style>
  <w:style w:type="character" w:styleId="a6">
    <w:name w:val="footnote reference"/>
    <w:basedOn w:val="a0"/>
    <w:uiPriority w:val="99"/>
    <w:rsid w:val="00307CBF"/>
    <w:rPr>
      <w:rFonts w:cs="Times New Roman"/>
      <w:vertAlign w:val="superscript"/>
    </w:rPr>
  </w:style>
  <w:style w:type="character" w:styleId="a7">
    <w:name w:val="Emphasis"/>
    <w:basedOn w:val="a0"/>
    <w:uiPriority w:val="20"/>
    <w:qFormat/>
    <w:rsid w:val="00307C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8916</Words>
  <Characters>5083</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Олена Воробйова (HCJ-MONO0218 - o.vorobiova)</cp:lastModifiedBy>
  <cp:revision>6</cp:revision>
  <dcterms:created xsi:type="dcterms:W3CDTF">2020-03-16T11:58:00Z</dcterms:created>
  <dcterms:modified xsi:type="dcterms:W3CDTF">2020-03-16T12:10:00Z</dcterms:modified>
</cp:coreProperties>
</file>