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A3" w:rsidRPr="00CF5CDE" w:rsidRDefault="00DB2DA3" w:rsidP="00DB2D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B2DA3" w:rsidRPr="00CF5CDE" w:rsidRDefault="00DB2DA3" w:rsidP="00DB2DA3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CF5CDE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A82E9B7" wp14:editId="1B4CF789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F5CDE">
        <w:rPr>
          <w:rFonts w:ascii="AcademyC" w:hAnsi="AcademyC"/>
          <w:b/>
          <w:color w:val="000000"/>
          <w:lang w:val="uk-UA"/>
        </w:rPr>
        <w:t>УКРАЇНА</w:t>
      </w:r>
    </w:p>
    <w:p w:rsidR="00DB2DA3" w:rsidRPr="00CF5CDE" w:rsidRDefault="00DB2DA3" w:rsidP="00DB2DA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CF5CDE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B2DA3" w:rsidRPr="00CF5CDE" w:rsidRDefault="00DB2DA3" w:rsidP="00DB2DA3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CF5CDE">
        <w:rPr>
          <w:rFonts w:ascii="AcademyC" w:hAnsi="AcademyC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DB2DA3" w:rsidRPr="00CF5CDE" w:rsidRDefault="00DB2DA3" w:rsidP="00DB2DA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CF5CDE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B2DA3" w:rsidRPr="00CF5CDE" w:rsidTr="006C67A8">
        <w:trPr>
          <w:trHeight w:val="188"/>
        </w:trPr>
        <w:tc>
          <w:tcPr>
            <w:tcW w:w="3098" w:type="dxa"/>
          </w:tcPr>
          <w:p w:rsidR="00DB2DA3" w:rsidRPr="00494A18" w:rsidRDefault="009C3F58" w:rsidP="006C67A8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15 квітня </w:t>
            </w:r>
            <w:r w:rsidR="00DB2DA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DB2DA3"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DB2DA3" w:rsidRPr="00CF5CDE" w:rsidRDefault="00DB2DA3" w:rsidP="006C67A8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CF5CD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:rsidR="00DB2DA3" w:rsidRPr="00CF5CDE" w:rsidRDefault="00DB2DA3" w:rsidP="0032113F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32113F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984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/3дп/15-20</w:t>
            </w:r>
          </w:p>
        </w:tc>
      </w:tr>
      <w:tr w:rsidR="00DB2DA3" w:rsidRPr="00CF5CDE" w:rsidTr="006C67A8">
        <w:trPr>
          <w:trHeight w:val="188"/>
        </w:trPr>
        <w:tc>
          <w:tcPr>
            <w:tcW w:w="3098" w:type="dxa"/>
          </w:tcPr>
          <w:p w:rsidR="00DB2DA3" w:rsidRPr="00494A18" w:rsidRDefault="00DB2DA3" w:rsidP="006C67A8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3309" w:type="dxa"/>
          </w:tcPr>
          <w:p w:rsidR="00DB2DA3" w:rsidRPr="00CF5CDE" w:rsidRDefault="00DB2DA3" w:rsidP="006C67A8">
            <w:pPr>
              <w:ind w:right="-2"/>
              <w:jc w:val="center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3624" w:type="dxa"/>
          </w:tcPr>
          <w:p w:rsidR="00DB2DA3" w:rsidRPr="00CF5CDE" w:rsidRDefault="00DB2DA3" w:rsidP="006C67A8">
            <w:pPr>
              <w:ind w:right="-2"/>
              <w:rPr>
                <w:rFonts w:ascii="Book Antiqua" w:hAnsi="Book Antiqua"/>
                <w:noProof/>
                <w:lang w:val="uk-UA"/>
              </w:rPr>
            </w:pPr>
          </w:p>
        </w:tc>
      </w:tr>
    </w:tbl>
    <w:p w:rsidR="00DB2DA3" w:rsidRPr="00494A18" w:rsidRDefault="00DB2DA3" w:rsidP="00DB2DA3">
      <w:pPr>
        <w:spacing w:after="0" w:line="240" w:lineRule="auto"/>
        <w:ind w:right="52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4A18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Ізюмського міськрайонного суду Харківської області Винниченка П.П.</w:t>
      </w:r>
    </w:p>
    <w:p w:rsidR="00DB2DA3" w:rsidRPr="00CF5CDE" w:rsidRDefault="00DB2DA3" w:rsidP="00DB2DA3">
      <w:pPr>
        <w:spacing w:after="0" w:line="24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B2DA3" w:rsidRPr="00494A18" w:rsidRDefault="00DB2DA3" w:rsidP="00DB2DA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4A01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правосуддя у складі головуючого</w:t>
      </w:r>
      <w:r>
        <w:rPr>
          <w:rFonts w:ascii="Times New Roman" w:hAnsi="Times New Roman" w:cs="Times New Roman"/>
          <w:sz w:val="28"/>
          <w:szCs w:val="28"/>
          <w:lang w:val="uk-UA"/>
        </w:rPr>
        <w:t> – </w:t>
      </w:r>
      <w:r w:rsidRPr="00814A01">
        <w:rPr>
          <w:rFonts w:ascii="Times New Roman" w:hAnsi="Times New Roman" w:cs="Times New Roman"/>
          <w:sz w:val="28"/>
          <w:szCs w:val="28"/>
          <w:lang w:val="uk-UA"/>
        </w:rPr>
        <w:t>Говорухи В.І., член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П.М., Іванової Л.Б., Матвійчука В.В.</w:t>
      </w:r>
      <w:r w:rsidRPr="00814A01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висновок доповідача – члена Третьої Дисциплінарної палати Вищої ради правосуддя </w:t>
      </w:r>
      <w:proofErr w:type="spellStart"/>
      <w:r w:rsidRPr="00814A01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814A01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скарги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Алексєєва Володимира Вікторовича </w:t>
      </w: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Ізюмського міськрайонного суду Харківської області Винниченка Петра Павловича</w:t>
      </w:r>
      <w:r w:rsidRPr="00494A18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B2DA3" w:rsidRPr="00D04B60" w:rsidRDefault="00DB2DA3" w:rsidP="00DB2DA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DB2DA3" w:rsidRPr="00D04B60" w:rsidRDefault="00DB2DA3" w:rsidP="00DB2DA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D04B60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DB2DA3" w:rsidRPr="00D04B60" w:rsidRDefault="00DB2DA3" w:rsidP="00DB2DA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</w:p>
    <w:p w:rsidR="00DB2DA3" w:rsidRPr="009E78F4" w:rsidRDefault="00DB2DA3" w:rsidP="00DB2DA3">
      <w:pPr>
        <w:pStyle w:val="a9"/>
        <w:jc w:val="both"/>
        <w:rPr>
          <w:rFonts w:eastAsia="Calibri"/>
          <w:sz w:val="28"/>
          <w:szCs w:val="28"/>
          <w:lang w:val="uk-UA"/>
        </w:rPr>
      </w:pPr>
      <w:r w:rsidRPr="00494A18">
        <w:rPr>
          <w:sz w:val="28"/>
          <w:szCs w:val="28"/>
          <w:lang w:val="uk-UA"/>
        </w:rPr>
        <w:t xml:space="preserve">до </w:t>
      </w:r>
      <w:r w:rsidRPr="001A5500">
        <w:rPr>
          <w:sz w:val="28"/>
          <w:szCs w:val="28"/>
          <w:lang w:val="uk-UA"/>
        </w:rPr>
        <w:t xml:space="preserve">Вищої ради правосуддя </w:t>
      </w:r>
      <w:r w:rsidRPr="009E78F4">
        <w:rPr>
          <w:rFonts w:eastAsia="Calibri"/>
          <w:sz w:val="28"/>
          <w:szCs w:val="28"/>
          <w:lang w:val="uk-UA"/>
        </w:rPr>
        <w:t xml:space="preserve">16 жовтня 2019 року за вхідним № А-5747/0/7-19 надійшла скарга Алексєєва В.В. </w:t>
      </w:r>
      <w:r w:rsidRPr="009C3F58">
        <w:rPr>
          <w:rFonts w:eastAsia="Calibri"/>
          <w:color w:val="000000" w:themeColor="text1"/>
          <w:sz w:val="28"/>
          <w:szCs w:val="28"/>
          <w:lang w:val="uk-UA"/>
        </w:rPr>
        <w:t xml:space="preserve">на дії </w:t>
      </w:r>
      <w:r w:rsidRPr="009E78F4">
        <w:rPr>
          <w:rFonts w:eastAsia="Calibri"/>
          <w:sz w:val="28"/>
          <w:szCs w:val="28"/>
          <w:lang w:val="uk-UA"/>
        </w:rPr>
        <w:t>судді Ізюмського міськрайонного суду Харківської області Винниченка П.П. під час розгляду справи № 623/1703/17.</w:t>
      </w:r>
    </w:p>
    <w:p w:rsidR="00DB2DA3" w:rsidRPr="009E78F4" w:rsidRDefault="00DB2DA3" w:rsidP="00DB2D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протоколу автоматизованого розподілу справи між членами Вищої ради правосуддя від 16 жовтня 2019 року зазначену скаргу передано для розгляду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члену Вищої ради правосуддя </w:t>
      </w:r>
      <w:proofErr w:type="spellStart"/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>Швецовій</w:t>
      </w:r>
      <w:proofErr w:type="spellEnd"/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Л.А. </w:t>
      </w:r>
    </w:p>
    <w:p w:rsidR="00DB2DA3" w:rsidRPr="009E78F4" w:rsidRDefault="00DB2DA3" w:rsidP="00DB2D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скарзі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зазначено</w:t>
      </w:r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>, що суддя</w:t>
      </w:r>
      <w:r w:rsidRPr="00FD2582">
        <w:t xml:space="preserve"> </w:t>
      </w:r>
      <w:r w:rsidRPr="009C3F5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Винниченко П.П., </w:t>
      </w:r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ухвалюючи судове рішення 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вказаній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78F4">
        <w:rPr>
          <w:rFonts w:ascii="Times New Roman" w:eastAsia="Calibri" w:hAnsi="Times New Roman" w:cs="Times New Roman"/>
          <w:sz w:val="28"/>
          <w:szCs w:val="28"/>
        </w:rPr>
        <w:t>справі</w:t>
      </w:r>
      <w:proofErr w:type="spellEnd"/>
      <w:r w:rsidRPr="009E78F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E78F4">
        <w:rPr>
          <w:rFonts w:ascii="Times New Roman" w:eastAsia="Calibri" w:hAnsi="Times New Roman" w:cs="Times New Roman"/>
          <w:sz w:val="28"/>
          <w:szCs w:val="28"/>
        </w:rPr>
        <w:t>діяв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78F4">
        <w:rPr>
          <w:rFonts w:ascii="Times New Roman" w:eastAsia="Calibri" w:hAnsi="Times New Roman" w:cs="Times New Roman"/>
          <w:sz w:val="28"/>
          <w:szCs w:val="28"/>
        </w:rPr>
        <w:t>упереджено</w:t>
      </w:r>
      <w:proofErr w:type="spellEnd"/>
      <w:r w:rsidRPr="009E78F4">
        <w:rPr>
          <w:rFonts w:ascii="Times New Roman" w:eastAsia="Calibri" w:hAnsi="Times New Roman" w:cs="Times New Roman"/>
          <w:sz w:val="28"/>
          <w:szCs w:val="28"/>
        </w:rPr>
        <w:t xml:space="preserve"> та очевидно на </w:t>
      </w:r>
      <w:proofErr w:type="spellStart"/>
      <w:r w:rsidRPr="009E78F4">
        <w:rPr>
          <w:rFonts w:ascii="Times New Roman" w:eastAsia="Calibri" w:hAnsi="Times New Roman" w:cs="Times New Roman"/>
          <w:sz w:val="28"/>
          <w:szCs w:val="28"/>
        </w:rPr>
        <w:t>користь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78F4">
        <w:rPr>
          <w:rFonts w:ascii="Times New Roman" w:eastAsia="Calibri" w:hAnsi="Times New Roman" w:cs="Times New Roman"/>
          <w:sz w:val="28"/>
          <w:szCs w:val="28"/>
        </w:rPr>
        <w:t>позивача</w:t>
      </w:r>
      <w:proofErr w:type="spellEnd"/>
      <w:r w:rsidRPr="009E78F4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9E78F4">
        <w:rPr>
          <w:rFonts w:ascii="Times New Roman" w:eastAsia="Calibri" w:hAnsi="Times New Roman" w:cs="Times New Roman"/>
          <w:sz w:val="28"/>
          <w:szCs w:val="28"/>
        </w:rPr>
        <w:t>справі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2DA3" w:rsidRPr="009E78F4" w:rsidRDefault="00DB2DA3" w:rsidP="00DB2D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>З огляду 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 викладене Алексєєв В.В. просив</w:t>
      </w:r>
      <w:r w:rsidRPr="009E78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притягнути суддю Ізюмського міськрайонного суду Харківської області Винниченка П.П. до дисциплінарної відповідальності.</w:t>
      </w:r>
    </w:p>
    <w:p w:rsidR="00DB2DA3" w:rsidRPr="00494A18" w:rsidRDefault="00DB2DA3" w:rsidP="00DB2DA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статті 43 Закону України «Про Вищу раду правосуддя» доповідачем – членом Третьої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Швецовою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 попередню перевірку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DB2DA3" w:rsidRPr="00494A18" w:rsidRDefault="00DB2DA3" w:rsidP="00DB2DA3">
      <w:pPr>
        <w:spacing w:after="0" w:line="25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 та додані до нього матеріали, Третя </w:t>
      </w:r>
      <w:r w:rsidRPr="00494A1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Дисциплінарна палата Вищої ради правосуддя дійшла висновку про наявність підстав для відкриття дисциплінарної справи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Ізюмського міськрайонного суду Харківської області Винниченка П.П</w:t>
      </w:r>
      <w:r w:rsidRPr="001A55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94A18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DB2DA3" w:rsidRPr="00903993" w:rsidRDefault="00DB2DA3" w:rsidP="00DB2D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0399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Винниченко Петро Павлович</w:t>
      </w:r>
      <w:r w:rsidRPr="0090399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Постановою Верховної Ради України від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br/>
      </w:r>
      <w:r w:rsidRPr="00903993">
        <w:rPr>
          <w:rFonts w:ascii="Times New Roman" w:eastAsia="Calibri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13 липня 2000 року № 1895-ІІІ</w:t>
      </w:r>
      <w:r w:rsidRPr="0090399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обраний суддею </w:t>
      </w:r>
      <w:r w:rsidRPr="0090399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Ізюмського міськрайонного суду Харківської області </w:t>
      </w:r>
      <w:r w:rsidRPr="0090399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безстроково</w:t>
      </w:r>
      <w:r w:rsidRPr="009039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B2DA3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 матеріалів справи вбачається, що у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провадженні Ізюмського міськрайонного суду Харківської області перебувала справа № 623/1703/17 за позовом </w:t>
      </w:r>
      <w:r w:rsid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32113F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 Головного управління </w:t>
      </w:r>
      <w:proofErr w:type="spellStart"/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Держгеокадастру</w:t>
      </w:r>
      <w:proofErr w:type="spellEnd"/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Харківській області, треті особи: </w:t>
      </w:r>
      <w:r w:rsid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ОСОБА_2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ОСОБА_3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ОСОБА_4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інші, про визнання нечинними змін, внесених до Державного земельного кадастру про поділ двох земельних ділянок, скасування державної реєстрації земельних ділянок, сформованих за рахунок поділу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</w:t>
      </w:r>
      <w:r w:rsidRPr="009C3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поновлення</w:t>
      </w:r>
      <w:r w:rsidRPr="009C3F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 Державному земельному кадастрі відомостей, реєстрацію поділених земельних ділянок,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визнання поновленим на той самий строк та на тих самих умовах договору оренди земельної ділянки та визнання укладеною додаткової угоди.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Ухвалою Ізюмського міськрайонного суду Харківської області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 xml:space="preserve">30 травня 2018 року, </w:t>
      </w:r>
      <w:r w:rsidRPr="009C3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постановленою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під головуванням судді Винниченка П.П.</w:t>
      </w:r>
      <w:r w:rsidRPr="009C3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задоволено заяву </w:t>
      </w:r>
      <w:r w:rsid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32113F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про забезпечення позову, заборонено</w:t>
      </w:r>
      <w:r w:rsidR="009C3F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відповідачу – Головному управлінню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Держгеокадастру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Харківській області приймати рішення щодо передачі у приватну власність земельних ділянок, сформованих за рахунок земельної ділянки з кадастровим номером 63228830000:04:000:0318 площею 26,6000, контур 31 (з перерахуванням усіх земельних ділянок у кількості 93 об’єкт</w:t>
      </w:r>
      <w:r w:rsidRPr="00B06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із зазначенням кадастрових номерів, цільового призначення, місця розташування, але без зазначення орендарів).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0A11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 скарзі </w:t>
      </w:r>
      <w:r w:rsidRPr="00B06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вказано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Pr="000A11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що рішенням Ізюмського міськрайонного суду Харківської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і від 9 л</w:t>
      </w:r>
      <w:r w:rsidRPr="007311D1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пня 2018 року (суддя Винниченко</w:t>
      </w:r>
      <w:r w:rsidRPr="000A11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 </w:t>
      </w:r>
      <w:r w:rsidRPr="000A11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справі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0A11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№ 623/1703/17 задоволено позовні вимоги </w:t>
      </w:r>
      <w:r w:rsid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32113F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Pr="000A11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 які,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0A11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думку скаржника, який є представником третіх осіб у справі, стосувались оформлення права користування земельною ділянкою всупереч вимогам земельного законодавства України.</w:t>
      </w:r>
    </w:p>
    <w:p w:rsidR="00DB2DA3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Постановою Харківського апеляційного суду від 10 липня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19 року судове рішення Ізюмського міськрайонного суду Харківської області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9 липня 2018 року скасовано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постановлено нове судове рішення про відмову в задоволенні позову.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С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удове рішення суду апеляційної інстанції набирає законної сили з моменту його проголошення.</w:t>
      </w:r>
    </w:p>
    <w:p w:rsidR="00DB2DA3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Скасовуючи рішення Ізюмського міськрайонного суду Харківської області, суд апеляційної інстанції заначив, що не може погодитись із вказаним рішенням суду першої інстанції у зв’язку із неповним з’ясуванням судом обставин, що мають значення для справи</w:t>
      </w:r>
      <w:r w:rsidRPr="00E46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недоведеністю обставин, що мають значення для справи, які суд визнав встановленими</w:t>
      </w:r>
      <w:r w:rsidRPr="00E46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неправильним застосуванням норм матеріального права</w:t>
      </w:r>
      <w:r w:rsidRPr="00E46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порушенням норм процесуального права, що призвело до неправильного вирішення справи.</w:t>
      </w:r>
    </w:p>
    <w:p w:rsidR="00DB2DA3" w:rsidRPr="00807151" w:rsidRDefault="00DB2DA3" w:rsidP="00DB2DA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Відповідно до статті 376 </w:t>
      </w:r>
      <w:r w:rsidRPr="00CA34CE">
        <w:rPr>
          <w:color w:val="000000" w:themeColor="text1"/>
          <w:sz w:val="28"/>
          <w:szCs w:val="28"/>
        </w:rPr>
        <w:t xml:space="preserve">Цивільного процесуального кодексу України (далі – ЦПК України) </w:t>
      </w:r>
      <w:r>
        <w:rPr>
          <w:color w:val="000000"/>
          <w:sz w:val="28"/>
          <w:szCs w:val="28"/>
        </w:rPr>
        <w:t>н</w:t>
      </w:r>
      <w:r w:rsidRPr="00807151">
        <w:rPr>
          <w:color w:val="000000"/>
          <w:sz w:val="28"/>
          <w:szCs w:val="28"/>
        </w:rPr>
        <w:t>еправильним застосуванням норм</w:t>
      </w:r>
      <w:r>
        <w:rPr>
          <w:color w:val="000000"/>
          <w:sz w:val="28"/>
          <w:szCs w:val="28"/>
        </w:rPr>
        <w:t xml:space="preserve"> матеріального права вважається</w:t>
      </w:r>
      <w:r w:rsidRPr="00807151">
        <w:rPr>
          <w:color w:val="000000"/>
          <w:sz w:val="28"/>
          <w:szCs w:val="28"/>
        </w:rPr>
        <w:t xml:space="preserve"> неправильне тлумачення закону, або застосування закону, який не підлягає застосуванню, або незастосування закону, який підлягав застосуванню.</w:t>
      </w:r>
    </w:p>
    <w:p w:rsidR="00DB2DA3" w:rsidRPr="00807151" w:rsidRDefault="00DB2DA3" w:rsidP="00DB2DA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7151">
        <w:rPr>
          <w:color w:val="000000"/>
          <w:sz w:val="28"/>
          <w:szCs w:val="28"/>
        </w:rPr>
        <w:t>Порушення норм процесуального права може бути підставою для скасування або зміни рішення, якщо це порушення призвело до неправильного вирішення справи.</w:t>
      </w:r>
    </w:p>
    <w:p w:rsidR="00DB2DA3" w:rsidRPr="00807151" w:rsidRDefault="00DB2DA3" w:rsidP="00DB2DA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7151">
        <w:rPr>
          <w:color w:val="000000"/>
          <w:sz w:val="28"/>
          <w:szCs w:val="28"/>
        </w:rPr>
        <w:t xml:space="preserve">Суд апеляційної інстанції за результатами розгляду апеляційної скарги приймає постанову за </w:t>
      </w:r>
      <w:r w:rsidRPr="00807151">
        <w:rPr>
          <w:color w:val="000000" w:themeColor="text1"/>
          <w:sz w:val="28"/>
          <w:szCs w:val="28"/>
        </w:rPr>
        <w:t>правилами </w:t>
      </w:r>
      <w:hyperlink r:id="rId7" w:anchor="n6294" w:history="1">
        <w:r w:rsidRPr="00807151">
          <w:rPr>
            <w:rStyle w:val="ac"/>
            <w:color w:val="000000" w:themeColor="text1"/>
            <w:sz w:val="28"/>
            <w:szCs w:val="28"/>
            <w:u w:val="none"/>
          </w:rPr>
          <w:t>статті 35</w:t>
        </w:r>
      </w:hyperlink>
      <w:r w:rsidRPr="00807151">
        <w:rPr>
          <w:color w:val="000000" w:themeColor="text1"/>
          <w:sz w:val="28"/>
          <w:szCs w:val="28"/>
        </w:rPr>
        <w:t> і </w:t>
      </w:r>
      <w:hyperlink r:id="rId8" w:anchor="n7950" w:history="1">
        <w:r w:rsidRPr="00807151">
          <w:rPr>
            <w:rStyle w:val="ac"/>
            <w:color w:val="000000" w:themeColor="text1"/>
            <w:sz w:val="28"/>
            <w:szCs w:val="28"/>
            <w:u w:val="none"/>
          </w:rPr>
          <w:t>глави 9</w:t>
        </w:r>
      </w:hyperlink>
      <w:hyperlink r:id="rId9" w:anchor="n7950" w:history="1">
        <w:r w:rsidRPr="00807151">
          <w:rPr>
            <w:rStyle w:val="ac"/>
            <w:color w:val="000000" w:themeColor="text1"/>
            <w:sz w:val="28"/>
            <w:szCs w:val="28"/>
            <w:u w:val="none"/>
          </w:rPr>
          <w:t> розділу III</w:t>
        </w:r>
      </w:hyperlink>
      <w:r w:rsidRPr="00807151">
        <w:rPr>
          <w:color w:val="000000" w:themeColor="text1"/>
          <w:sz w:val="28"/>
          <w:szCs w:val="28"/>
        </w:rPr>
        <w:t xml:space="preserve"> цього </w:t>
      </w:r>
      <w:r w:rsidRPr="00807151">
        <w:rPr>
          <w:color w:val="000000"/>
          <w:sz w:val="28"/>
          <w:szCs w:val="28"/>
        </w:rPr>
        <w:t>Кодексу з особливостями, зазначеними у </w:t>
      </w:r>
      <w:hyperlink r:id="rId10" w:anchor="n8756" w:history="1">
        <w:r w:rsidRPr="00807151">
          <w:rPr>
            <w:rStyle w:val="ac"/>
            <w:color w:val="000000" w:themeColor="text1"/>
            <w:sz w:val="28"/>
            <w:szCs w:val="28"/>
            <w:u w:val="none"/>
          </w:rPr>
          <w:t>статті 382</w:t>
        </w:r>
      </w:hyperlink>
      <w:r w:rsidRPr="00807151">
        <w:rPr>
          <w:color w:val="000000" w:themeColor="text1"/>
          <w:sz w:val="28"/>
          <w:szCs w:val="28"/>
        </w:rPr>
        <w:t> </w:t>
      </w:r>
      <w:r>
        <w:rPr>
          <w:color w:val="000000"/>
          <w:sz w:val="28"/>
          <w:szCs w:val="28"/>
        </w:rPr>
        <w:t>ЦПК України</w:t>
      </w:r>
      <w:r w:rsidRPr="00807151">
        <w:rPr>
          <w:color w:val="000000"/>
          <w:sz w:val="28"/>
          <w:szCs w:val="28"/>
        </w:rPr>
        <w:t>.</w:t>
      </w:r>
    </w:p>
    <w:p w:rsidR="00DB2DA3" w:rsidRPr="00807151" w:rsidRDefault="00DB2DA3" w:rsidP="00DB2DA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7151">
        <w:rPr>
          <w:color w:val="000000"/>
          <w:sz w:val="28"/>
          <w:szCs w:val="28"/>
        </w:rPr>
        <w:t>Згідно зі с</w:t>
      </w:r>
      <w:r w:rsidRPr="00807151">
        <w:rPr>
          <w:rStyle w:val="rvts9"/>
          <w:bCs/>
          <w:color w:val="000000"/>
          <w:sz w:val="28"/>
          <w:szCs w:val="28"/>
        </w:rPr>
        <w:t>таттею 38</w:t>
      </w:r>
      <w:r>
        <w:rPr>
          <w:rStyle w:val="rvts9"/>
          <w:bCs/>
          <w:color w:val="000000"/>
          <w:sz w:val="28"/>
          <w:szCs w:val="28"/>
        </w:rPr>
        <w:t>4</w:t>
      </w:r>
      <w:r w:rsidRPr="00807151">
        <w:rPr>
          <w:rStyle w:val="rvts9"/>
          <w:bCs/>
          <w:color w:val="000000"/>
          <w:sz w:val="28"/>
          <w:szCs w:val="28"/>
        </w:rPr>
        <w:t xml:space="preserve"> ЦПК України п</w:t>
      </w:r>
      <w:r w:rsidRPr="00807151">
        <w:rPr>
          <w:color w:val="000000"/>
          <w:sz w:val="28"/>
          <w:szCs w:val="28"/>
        </w:rPr>
        <w:t>останова суду апеляційної інстанції набирає законної сили з дня її прийняття.</w:t>
      </w:r>
    </w:p>
    <w:p w:rsidR="00DB2DA3" w:rsidRDefault="00DB2DA3" w:rsidP="00DB2DA3">
      <w:pPr>
        <w:widowControl w:val="0"/>
        <w:tabs>
          <w:tab w:val="left" w:pos="765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>Оскільки у справі були вжиті заходи забезпечення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 позову, фізичні особи, зокрема</w:t>
      </w:r>
      <w:r w:rsidRPr="0016547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E46E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ОСОБА_5</w:t>
      </w:r>
      <w:r w:rsidRPr="0016547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 та </w:t>
      </w:r>
      <w:r w:rsidR="00E46E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ОСОБА_4</w:t>
      </w:r>
      <w:r w:rsidRPr="00CA34CE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lang w:val="uk-UA" w:eastAsia="uk-UA" w:bidi="uk-UA"/>
        </w:rPr>
        <w:t>,</w:t>
      </w:r>
      <w:r w:rsidRPr="001337AA">
        <w:rPr>
          <w:rFonts w:ascii="Times New Roman" w:eastAsia="Arial Unicode MS" w:hAnsi="Times New Roman" w:cs="Times New Roman"/>
          <w:bCs/>
          <w:color w:val="FF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>24 вересня 2019 року</w:t>
      </w:r>
      <w:r w:rsidRPr="0016547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 звернулись до Ізюмського міськрайонного суду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Pr="00CA34CE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lang w:val="uk-UA" w:eastAsia="uk-UA" w:bidi="uk-UA"/>
        </w:rPr>
        <w:t xml:space="preserve">Харківської області </w:t>
      </w:r>
      <w:r w:rsidRPr="0016547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із </w:t>
      </w:r>
      <w:r w:rsidRPr="001654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 w:bidi="uk-UA"/>
        </w:rPr>
        <w:t>клопотанням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 w:bidi="uk-UA"/>
        </w:rPr>
        <w:t>и</w:t>
      </w:r>
      <w:r w:rsidRPr="001654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 w:bidi="uk-UA"/>
        </w:rPr>
        <w:t xml:space="preserve"> про скасування заходів забезпечення позову.</w:t>
      </w:r>
    </w:p>
    <w:p w:rsidR="00DB2DA3" w:rsidRPr="00406750" w:rsidRDefault="00DB2DA3" w:rsidP="00DB2DA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06750">
        <w:rPr>
          <w:bCs/>
          <w:color w:val="000000" w:themeColor="text1"/>
          <w:sz w:val="28"/>
          <w:szCs w:val="28"/>
        </w:rPr>
        <w:t xml:space="preserve">Відповідно до статті </w:t>
      </w:r>
      <w:r>
        <w:rPr>
          <w:bCs/>
          <w:color w:val="000000" w:themeColor="text1"/>
          <w:sz w:val="28"/>
          <w:szCs w:val="28"/>
        </w:rPr>
        <w:t>1</w:t>
      </w:r>
      <w:r w:rsidRPr="00406750">
        <w:rPr>
          <w:bCs/>
          <w:color w:val="000000" w:themeColor="text1"/>
          <w:sz w:val="28"/>
          <w:szCs w:val="28"/>
        </w:rPr>
        <w:t>58 ЦПК України</w:t>
      </w:r>
      <w:bookmarkStart w:id="0" w:name="n7192"/>
      <w:bookmarkEnd w:id="0"/>
      <w:r w:rsidRPr="00406750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406750">
        <w:rPr>
          <w:color w:val="000000"/>
          <w:sz w:val="28"/>
          <w:szCs w:val="28"/>
        </w:rPr>
        <w:t>уд може скасувати заходи забезпечення позову з власної ініціативи або за вмотивованим клопотанням учасника справи.</w:t>
      </w:r>
    </w:p>
    <w:p w:rsidR="00DB2DA3" w:rsidRPr="00406750" w:rsidRDefault="00DB2DA3" w:rsidP="00DB2D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067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Клопотання про скасування заходів забезпечення позову розглядається в судовому засіданні не пізніше п’яти днів з дня надходження його до суду.</w:t>
      </w:r>
    </w:p>
    <w:p w:rsidR="00DB2DA3" w:rsidRPr="00406750" w:rsidRDefault="00DB2DA3" w:rsidP="00DB2D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067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 результатами розгляду клопотання про скасування заходів забезпечення позову, вжитих судом, </w:t>
      </w:r>
      <w:proofErr w:type="spellStart"/>
      <w:r w:rsidRPr="004067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постановляється</w:t>
      </w:r>
      <w:proofErr w:type="spellEnd"/>
      <w:r w:rsidRPr="004067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ухвала.</w:t>
      </w:r>
    </w:p>
    <w:p w:rsidR="00DB2DA3" w:rsidRPr="00406750" w:rsidRDefault="00DB2DA3" w:rsidP="00DB2D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067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Ухвала суду про скасування заходів забезпечення позову, вжитих судом, або про відмову в скасуванні забезпечення позову може бути оскаржена.</w:t>
      </w:r>
    </w:p>
    <w:p w:rsidR="00DB2DA3" w:rsidRDefault="00DB2DA3" w:rsidP="00DB2D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7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Відмова у скасуванні забезпечення позову не перешкоджає повторному зверненню з таким самим клопотанням при появі нових обставин, що обґрунтовують необхідність скасування забезпечення позову.</w:t>
      </w:r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B2DA3" w:rsidRPr="00406750" w:rsidRDefault="00DB2DA3" w:rsidP="00DB2D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Примірник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ухвали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скасування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позову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невідкладно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після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набрання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такою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ухвалою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законної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сили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надсилається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заявнику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всім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особам,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яких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стосуються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заходи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позову і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яких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суд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ідентифікувати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також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державним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іншим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органам,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повинні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були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(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виконували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ухвалу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позову, для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ними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відповідних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дій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скасування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Pr="004067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позову.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Згідно з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токолом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авторозподілу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клопотання передано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для розгляду судді Винниченку П.П.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Ухвалою </w:t>
      </w:r>
      <w:r w:rsidRPr="001654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Ізюмського міськрайонного суду Харківської області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30 вересня 2019 року суддя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Винниченко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П.П. зупинив розгляд клопотань </w:t>
      </w:r>
      <w:r w:rsidR="00E465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ОСОБА_5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та </w:t>
      </w:r>
      <w:r w:rsidR="00E465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ОСОБА_4</w:t>
      </w:r>
      <w:r w:rsidR="00E46542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 набрання законної сили рішенням у справі </w:t>
      </w:r>
      <w:r w:rsidR="00E465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        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№ 623/1703/17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 а саме постанов</w:t>
      </w:r>
      <w:r w:rsidRPr="00295A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Харківського апеляційного суду від</w:t>
      </w:r>
      <w:r w:rsidR="005466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10 липня 2019 року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DB2DA3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Суддя </w:t>
      </w:r>
      <w:r w:rsidRPr="000962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Винниченко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П.П. не міг не знати, що винес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ене ним судове рішення скасовано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оскільки до клопотання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було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додано </w:t>
      </w:r>
      <w:r w:rsidRPr="00295A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роздруківку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вказаної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постанови Харківського апеляційного суду у цій справі.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bookmarkStart w:id="1" w:name="n8726"/>
      <w:bookmarkEnd w:id="1"/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Алексєєв В.В. вважає, що судове рішення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Pr="00546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винесене судом першої інстанції,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мало ознаки </w:t>
      </w:r>
      <w:r w:rsidRPr="00546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рішення, прийнятого упереджено,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користь позивача у справі – фізичної особи </w:t>
      </w:r>
      <w:r w:rsidR="004C7D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4C7DEE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що, </w:t>
      </w:r>
      <w:r w:rsidRPr="00546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на думку скаржника,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підтверджується ухвалою </w:t>
      </w:r>
      <w:r w:rsidRPr="0016547D">
        <w:rPr>
          <w:rFonts w:ascii="Times New Roman" w:eastAsia="Calibri" w:hAnsi="Times New Roman" w:cs="Times New Roman"/>
          <w:sz w:val="28"/>
          <w:szCs w:val="28"/>
          <w:lang w:val="uk-UA"/>
        </w:rPr>
        <w:t>Ізюмського міськрайонного суду Харківської області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від 30 вересня 2019 року.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Крім того, за </w:t>
      </w:r>
      <w:r w:rsidRPr="00546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даними веб-порталу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«Судова влада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546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України»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суддя-доповідач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касаційного суду тричі відмовляв у зупиненні виконання постанови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Харківського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апеляційного суду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прийнятої у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справі № 623/1703/17.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>Отже, скаржник вважає, що у діях судді Винниченка П.П. є ознаки дисциплінарного правопорушення.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поясненнях, наданих на запит члена Вищої ради правосуддя щодо доводів, викладених у скарзі, суддя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инниченко П.П. повідомив так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е.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його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провадженні </w:t>
      </w:r>
      <w:r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дійсно 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перебувала цивільна справа за позовом</w:t>
      </w:r>
      <w:r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</w:t>
      </w:r>
      <w:r w:rsidR="004C7D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4C7DEE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4C7DEE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до Головного управління </w:t>
      </w:r>
      <w:proofErr w:type="spellStart"/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Держгеокадастру</w:t>
      </w:r>
      <w:proofErr w:type="spellEnd"/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у Харківській області, треті особи: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</w:t>
      </w:r>
      <w:r w:rsidRPr="006439D8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,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,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6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,</w:t>
      </w:r>
      <w:r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br/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7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8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9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0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1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2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,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4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5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Pr="006439D8">
        <w:rPr>
          <w:rFonts w:ascii="Times New Roman" w:eastAsia="Calibri" w:hAnsi="Times New Roman" w:cs="Times New Roman"/>
          <w:color w:val="000000"/>
          <w:sz w:val="28"/>
          <w:lang w:val="uk-UA" w:eastAsia="ru-RU" w:bidi="ru-RU"/>
        </w:rPr>
        <w:t>,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ru-RU" w:bidi="ru-RU"/>
        </w:rPr>
        <w:t xml:space="preserve">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ru-RU" w:bidi="ru-RU"/>
        </w:rPr>
        <w:t>6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ru-RU" w:bidi="ru-RU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7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8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9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21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22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23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24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25</w:t>
      </w:r>
      <w:r w:rsidRPr="006439D8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,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26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ru-RU" w:bidi="ru-RU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27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28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29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30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.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32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33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34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,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35,</w:t>
      </w:r>
      <w:r w:rsidR="00DD7B04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DD7B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36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, про визнання нечинними змін, внесених до Державного земельного кадастру</w:t>
      </w:r>
      <w:r w:rsidRPr="000071D4">
        <w:rPr>
          <w:rFonts w:ascii="Times New Roman" w:eastAsia="Calibri" w:hAnsi="Times New Roman" w:cs="Times New Roman"/>
          <w:color w:val="000000" w:themeColor="text1"/>
          <w:sz w:val="28"/>
          <w:lang w:val="uk-UA" w:eastAsia="uk-UA" w:bidi="uk-UA"/>
        </w:rPr>
        <w:t>,</w:t>
      </w:r>
      <w:r w:rsidRPr="0016547D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 xml:space="preserve"> про поділ двох земельних ділянок, скасування державної реєстрації земельних ділянок, сформованих за рахунок поділу, та </w:t>
      </w:r>
      <w:r w:rsidRPr="00546652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поновлення в Державному земельному кадастрі відомостей реєстрацію поділені земельні ділянки</w:t>
      </w:r>
      <w:r w:rsidRPr="006439D8">
        <w:rPr>
          <w:rFonts w:ascii="Times New Roman" w:eastAsia="Calibri" w:hAnsi="Times New Roman" w:cs="Times New Roman"/>
          <w:color w:val="000000"/>
          <w:sz w:val="28"/>
          <w:lang w:val="uk-UA" w:eastAsia="uk-UA" w:bidi="uk-UA"/>
        </w:rPr>
        <w:t>, визнання поновленим на той самий строк та на тих самих умовах договору оренди земельної ділянки та визнання укладеною додаткової угоди.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Рішенням Ізюмського міськрайонного суду Харківської області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9 липня 2018 року позов </w:t>
      </w:r>
      <w:r w:rsidR="001777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1777E7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задоволено.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Постановою Харківського апеляційного суду від 10 липня 2019 року апеляційні скарги </w:t>
      </w:r>
      <w:r w:rsidR="00007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007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="000071D4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та Головного управління </w:t>
      </w:r>
      <w:proofErr w:type="spellStart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Держгеокадастру</w:t>
      </w:r>
      <w:proofErr w:type="spellEnd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у Харківській області задоволено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 Рішення Ізюмського міськрайонного суду Харківської області від 9 липня 2018 року і додаткове рішення Ізюмського міськрайонного суду Харківської області від 7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листопада 2018 року скасовано,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ухвалено нове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рішення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Відмовлено у задоволені позовних вимог </w:t>
      </w:r>
      <w:r w:rsidR="001777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1777E7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DB2DA3" w:rsidRPr="0016547D" w:rsidRDefault="00DB2DA3" w:rsidP="00DB2DA3">
      <w:pPr>
        <w:widowControl w:val="0"/>
        <w:tabs>
          <w:tab w:val="left" w:pos="133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 Ізюмського міськрайонного суду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Харківської області 24 вересня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2019 року надійшло клопотання представника </w:t>
      </w:r>
      <w:r w:rsidR="00007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007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07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0071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37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про скасування заходів забезпечення позову у цивільній справі № 623/1703/17, в якому вона просила скасувати заходи забезпечення позову, вжиті ухвалами Ізюмського міськрайонного суду Харківської області, а саме: від 8 серпня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2017 року, провадження № 2/623/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950/2017; від 14 лютого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2018 року, провадження № 2-з/623/14/2018; від 2 березня 2018 року, провадження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№ 2-з/623</w:t>
      </w:r>
      <w:r w:rsidRPr="0016547D">
        <w:rPr>
          <w:rFonts w:ascii="Times New Roman" w:hAnsi="Times New Roman" w:cs="Times New Roman"/>
          <w:sz w:val="28"/>
          <w:szCs w:val="28"/>
          <w:lang w:val="uk-UA"/>
        </w:rPr>
        <w:t>/62/20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18; від 30 травня 2018 року, провадження № 2-з/623/44/2018.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Відповідно до протоколу переда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чі судової справи раніше визначе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ному складу суду від 24 вересня 2019 року вказане клопотання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розподіл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ено</w:t>
      </w:r>
      <w:proofErr w:type="spellEnd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розгляду судді </w:t>
      </w:r>
      <w:proofErr w:type="spellStart"/>
      <w:r w:rsidRPr="0016547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Винниченку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П.П.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Цього самого дня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 суду надійшло аналогічне клопотання представника </w:t>
      </w:r>
      <w:r w:rsidR="009528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9528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="009528FE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– </w:t>
      </w:r>
      <w:r w:rsidR="009528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9528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37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яке відповідно до протоколу передачі судової справи раніше визначеному складу суду від 24 вересня 2019 року також було </w:t>
      </w:r>
      <w:proofErr w:type="spellStart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розподілено</w:t>
      </w:r>
      <w:proofErr w:type="spellEnd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судді Винниченку П.П.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Матеріали справи містять довідку секретаря Ізюмського міськрайонного суду Харківської області, в якій зазначено, що 7 грудня 2018 року за вихідним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4F291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№ 23707 Ізюмський міськрайонний суд Харківської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надіслав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адресу Харківського апеляційного суду цивільну справу № 623/1703/17.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Ста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ном на 24 вересня 2019 року зазначену справу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 Ізюмського міськрайонного суду Харківської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не повернуто. Також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повідомлено, що 12 вересня 2019 року до Ізюмського міськрайонного суду Харківської області надійшла ухвала Вер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ховного Суду від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6 вересня 2019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№ 61-2192ск19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витребування цивільної справи №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623/1703/17 у зв’язку з відкриттям провадження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ній.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Ухвалою Ізюмського міськрайонного суду Харківської області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30 вересня 2019 року провадження у справі № 623/1703/17 за клопотанням представника 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="00832155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– 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37</w:t>
      </w:r>
      <w:r w:rsidR="00832155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про скасування заходів забезпечення позову </w:t>
      </w:r>
      <w:proofErr w:type="spellStart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зупинено</w:t>
      </w:r>
      <w:proofErr w:type="spellEnd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 набрання 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аконної сили судовим рішенням у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цивільній справі № 623/1703/17.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 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пеляційному порядку сторони цю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ухвалу не оскаржували. Ухвала набрала законної сили.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Ухвалою Ізюмського міськрайонного суду Харківської області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30 вересня 2019 року провадження у справі № 623/1703/17 за клопотанням представника </w:t>
      </w:r>
      <w:proofErr w:type="spellStart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Гаврашенко</w:t>
      </w:r>
      <w:proofErr w:type="spellEnd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Д.Л. – </w:t>
      </w:r>
      <w:proofErr w:type="spellStart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Бикової</w:t>
      </w:r>
      <w:proofErr w:type="spellEnd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О.Ю. про скасування заходів забезпечення позову </w:t>
      </w:r>
      <w:proofErr w:type="spellStart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зупинено</w:t>
      </w:r>
      <w:proofErr w:type="spellEnd"/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 набрання 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аконної сили судовим рішенням у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цивільній справі № 623/1703/17.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 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пеляційному порядку сторони зазначену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ухвалу також не оскаржували. Ухвала набрала законної сили.</w:t>
      </w:r>
    </w:p>
    <w:p w:rsidR="00DB2DA3" w:rsidRPr="00546652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Суддя Винниченко П.П. </w:t>
      </w:r>
      <w:r w:rsidRPr="0054665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(головуючий у вказаній справі) з 1 жовтня по </w:t>
      </w:r>
      <w:r w:rsidRPr="0054665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br/>
        <w:t>2 листопада 2019 року включно перебував у відпустці (наказ від 23 вересня</w:t>
      </w:r>
      <w:r w:rsidR="0054665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                 </w:t>
      </w:r>
      <w:r w:rsidRPr="0054665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2019 року № 02-04/99).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3 жовтня 2019 року (вхідний № 12227/19-Вх)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 Харківського апеляційного суду до Ізюмського міськрайонного суду Харківської області надійшла цивільна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справа № 623/1703/17 (8 томів </w:t>
      </w:r>
      <w:r w:rsidRPr="0054665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справи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6 томів виділених матеріалів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)</w:t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DB2DA3" w:rsidRPr="0016547D" w:rsidRDefault="00DB2DA3" w:rsidP="00DB2DA3">
      <w:pPr>
        <w:widowControl w:val="0"/>
        <w:tabs>
          <w:tab w:val="left" w:pos="142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Ухвалою Ізюмського міськрайонного суду Харківської області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</w:r>
      <w:r w:rsidRPr="0016547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4 листопада 2019 року поновлено провадження у справі № 623/1703/17, призначено засідання на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7 листопада 2019 року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копії ухвал </w:t>
      </w:r>
      <w:r w:rsidRPr="00546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надіслано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сторонам </w:t>
      </w:r>
      <w:r w:rsidRPr="005466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до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відома.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Водночас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слід зазначити, що у поясненнях суддя Винниченко П.П. виклав хронологію розгляду справи № 623/1703/17, однак не пояснив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яких підставах ухвалою від 30 вересня 2019 року зупинив розгляд клопотань 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="00832155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 набрання законної сили рішенням у вказаній справі, враховуючи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постанову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Харківського апеляційного суду від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10 липня 2019 року, </w:t>
      </w:r>
      <w:r w:rsidRPr="007D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яка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набрала законної сили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 якою скасовано рішення суду першої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інстанції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 справі </w:t>
      </w:r>
      <w:r w:rsidR="008321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        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№ 623/1703/17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C571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і ухвалено нове судове рішення, яким </w:t>
      </w:r>
      <w:r w:rsidRPr="002F3C65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відмовлено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позивачу у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задоволенні позовних вимог.</w:t>
      </w:r>
    </w:p>
    <w:p w:rsidR="00DB2DA3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Крім того, як вбачається з Єдиного державного реєстру судових рішень, ухвалою Касаційного цивільного суду у складі Верховного Суду від 20 вересня 2019 року (</w:t>
      </w:r>
      <w:r w:rsidRPr="00C571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постановлена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до прийняття відповідного судового рішення суддею Винниченком П.П.) відмовлено у задоволенні клопотання </w:t>
      </w:r>
      <w:r w:rsidR="009F33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ОСОБА_</w:t>
      </w:r>
      <w:r w:rsidR="009F33A0" w:rsidRPr="003211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1</w:t>
      </w:r>
      <w:r w:rsidR="009F33A0"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 зупинення дії постанови Харківського апеляційного 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ду від 10 липня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 xml:space="preserve">2019 року у </w:t>
      </w:r>
      <w:r w:rsidRPr="001654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вказаній справі.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Також слід зазначити, що суддею Ізюмського міськрайонного суду Харківської області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Герцовим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О.М. постановлен</w:t>
      </w:r>
      <w:r w:rsidRPr="009F33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ухвал</w:t>
      </w:r>
      <w:bookmarkStart w:id="2" w:name="_GoBack"/>
      <w:r w:rsidRPr="009F33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а</w:t>
      </w:r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від 23 жовтня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 xml:space="preserve">2019 року, якою скасовано заходи забезпечення позову, вжиті ухвалою Ізюмського міськрайонного суду Харківської області від 30 травня 2018 року, а саме скасовано заборону відповідачу – Головному управлінню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Держгеокадастру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Харківській області приймати рішення щодо передачі у приватну власність земельних ділянок, сформованих за рахунок земельної ділянки з кадастровим номером 63228830000:04:000:0318 площею 26,6000, контур 31.</w:t>
      </w:r>
    </w:p>
    <w:p w:rsidR="00DB2DA3" w:rsidRPr="0016547D" w:rsidRDefault="00DB2DA3" w:rsidP="00DB2D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Вказана ухвала Ізюмського міськрайонного суду Харківської області (від 23 жовтня 2019 року) також була предметом розгляду суду апеляційної інстанції та постановою Харківського апеляційного суду від 16 березня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2020 року апеляційну скаргу залишено без задоволення.</w:t>
      </w:r>
    </w:p>
    <w:p w:rsidR="00DB2DA3" w:rsidRPr="0016547D" w:rsidRDefault="00DB2DA3" w:rsidP="00DB2DA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A55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огляду на наведене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Третя Дисциплінарна палата Вищої ради правосуддя </w:t>
      </w:r>
      <w:r w:rsidRPr="001A55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вважа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є, що т</w:t>
      </w:r>
      <w:r w:rsidRPr="001654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акі дії судді Ізюмського міськрайонного суду Харківської області Винниченка П.П. можуть свідчити про вчинення ним дисциплінарного проступку, </w:t>
      </w:r>
      <w:r w:rsidRPr="00C5712D">
        <w:rPr>
          <w:rFonts w:ascii="Times New Roman" w:eastAsia="Calibri" w:hAnsi="Times New Roman" w:cs="Times New Roman"/>
          <w:sz w:val="28"/>
          <w:szCs w:val="28"/>
          <w:lang w:val="uk-UA"/>
        </w:rPr>
        <w:t>передбаченого пунктом 1 частини першої статті 106 Закону України «Про судоустрій і статус суддів»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(</w:t>
      </w:r>
      <w:r w:rsidRPr="001654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умисна або внаслідок недбалості незаконна відмова у доступі до правосуддя (у тому числі незаконна відмова в розгляді по суті позовної заяви, апеляційної, касаційної скарги тощо) або інше істотне порушення норм процесуального права під час здійснення правосуддя, що унеможливило 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реалізацію учасниками </w:t>
      </w:r>
      <w:r w:rsidRPr="001654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судового процесу наданих їм процесуальних прав та виконання процесуальних обов’язків, </w:t>
      </w:r>
      <w:r w:rsidRPr="00C5712D">
        <w:rPr>
          <w:rFonts w:ascii="Times New Roman" w:eastAsia="Calibri" w:hAnsi="Times New Roman" w:cs="Times New Roman"/>
          <w:sz w:val="28"/>
          <w:szCs w:val="28"/>
          <w:lang w:val="uk-UA"/>
        </w:rPr>
        <w:t>а також порушення засад рівності всіх учасників судового процесу перед законом і судом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)</w:t>
      </w:r>
      <w:r w:rsidRPr="00C5712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2DA3" w:rsidRPr="001A5500" w:rsidRDefault="00DB2DA3" w:rsidP="00DB2DA3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Враховуючи викладене, Третя Дисциплінарна палата Вищої ради правосуддя дійшла висновку, що в діях судді Винниченка П.П. вбачаються ознаки дисциплінарного проступку, наслідком якого може бути притягнення до дисциплінарної відповідальності з підстав, </w:t>
      </w:r>
      <w:r w:rsidRPr="00C57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передбачених підпунктом «а» пункту 1 частини першої статті 106 Закону № 1402-VIII,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(</w:t>
      </w:r>
      <w:r w:rsidRPr="001A55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умисн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або внаслідок недбалості незаконна відмова у доступі до правосуддя (у тому числі незаконна відмова в розгляді по суті позовної заяви, апеляційної, касаційної скарги тощо) або </w:t>
      </w:r>
      <w:r w:rsidRPr="001A55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істотного порушення норм процесуального права під час здійснення правосуддя, що унеможливило реалізацію учасниками судового процесу наданих їм процесуальних прав та виконання процесуальних обов’язків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1A55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B2DA3" w:rsidRDefault="00DB2DA3" w:rsidP="00DB2DA3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B0C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частини одинадцятої статті 109 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Закону України «Про судоустрій і статус суддів» </w:t>
      </w:r>
      <w:r w:rsidRPr="009B0C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дисциплінарне стягнення до судді застосовується не пізніше трьох років із дня вчинення проступку без урахування часу тимчасової </w:t>
      </w:r>
      <w:r w:rsidRPr="009B0C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непрацездатності або перебування судді у відпустці чи здійснення відповідного дисциплінарного провадження.</w:t>
      </w:r>
    </w:p>
    <w:p w:rsidR="00DB2DA3" w:rsidRDefault="00DB2DA3" w:rsidP="00DB2DA3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Дії судді Винниченка П.П., які можуть бути підставою для притягнення його до дисциплінарної відповідальності, мали місце у 2019 році,</w:t>
      </w:r>
      <w:r w:rsidRPr="00FD25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отже,</w:t>
      </w:r>
      <w:r w:rsidRPr="00FD25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строк притягнення судді до дисциплінарної відповідальності не </w:t>
      </w:r>
      <w:r w:rsidRPr="00C571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закінчився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B2DA3" w:rsidRDefault="00DB2DA3" w:rsidP="00DB2DA3">
      <w:pPr>
        <w:spacing w:after="0" w:line="252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B0C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Викладене свідчить про наявність підстав для відкриття дисциплінарної справи стосовно судді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Ізюмського міськрайонного суду Харківської області Винниченка П.П</w:t>
      </w:r>
      <w:r w:rsidRPr="009B0C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B2DA3" w:rsidRDefault="00DB2DA3" w:rsidP="00DB2DA3">
      <w:pPr>
        <w:spacing w:after="0" w:line="252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дисциплінарної справи стосовно судді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Ізюмського міськрайонного суду Харківської області Винниченка П.П</w:t>
      </w:r>
      <w:r w:rsidRPr="009B0C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B2DA3" w:rsidRPr="00494A18" w:rsidRDefault="00DB2DA3" w:rsidP="00DB2DA3">
      <w:pPr>
        <w:spacing w:after="0" w:line="252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sz w:val="28"/>
          <w:szCs w:val="28"/>
          <w:lang w:val="uk-UA"/>
        </w:rPr>
        <w:t>Керуючись статтею 46 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DB2DA3" w:rsidRPr="00494A18" w:rsidRDefault="00DB2DA3" w:rsidP="00DB2DA3">
      <w:pPr>
        <w:spacing w:before="120" w:after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>ухвалила:</w:t>
      </w:r>
    </w:p>
    <w:p w:rsidR="00DB2DA3" w:rsidRDefault="00DB2DA3" w:rsidP="00DB2DA3">
      <w:pPr>
        <w:spacing w:after="0" w:line="252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4A18">
        <w:rPr>
          <w:rFonts w:ascii="Times New Roman" w:hAnsi="Times New Roman" w:cs="Times New Roman"/>
          <w:sz w:val="28"/>
          <w:szCs w:val="28"/>
          <w:lang w:val="uk-UA"/>
        </w:rPr>
        <w:t xml:space="preserve">відкрити дисциплінарну справу стосовно судді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Ізюмського міськрайонного суду Харківської області Винниченка Петра Павловича</w:t>
      </w:r>
      <w:r w:rsidRPr="009B0C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B2DA3" w:rsidRPr="00494A18" w:rsidRDefault="00DB2DA3" w:rsidP="00DB2DA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DA3" w:rsidRPr="00494A18" w:rsidRDefault="00DB2DA3" w:rsidP="00DB2DA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DB2DA3" w:rsidRPr="00494A18" w:rsidRDefault="00DB2DA3" w:rsidP="00DB2DA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DA3" w:rsidRDefault="00DB2DA3" w:rsidP="00DB2DA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2DA3" w:rsidRPr="00494A18" w:rsidRDefault="00DB2DA3" w:rsidP="00DB2DA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DB2DA3" w:rsidRPr="00494A18" w:rsidRDefault="00DB2DA3" w:rsidP="00DB2DA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DB2DA3" w:rsidRPr="00494A18" w:rsidRDefault="00DB2DA3" w:rsidP="00DB2DA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В.І. Говоруха</w:t>
      </w:r>
    </w:p>
    <w:p w:rsidR="00DB2DA3" w:rsidRPr="00894E7C" w:rsidRDefault="00DB2DA3" w:rsidP="00DB2DA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B2DA3" w:rsidRPr="00494A18" w:rsidRDefault="00DB2DA3" w:rsidP="00DB2DA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>Член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Третьої Дисциплінарної</w:t>
      </w:r>
    </w:p>
    <w:p w:rsidR="00DB2DA3" w:rsidRPr="00494A18" w:rsidRDefault="00DB2DA3" w:rsidP="00DB2DA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494A18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</w:p>
    <w:p w:rsidR="00DB2DA3" w:rsidRDefault="00DB2DA3" w:rsidP="00DB2D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7"/>
          <w:lang w:val="uk-UA"/>
        </w:rPr>
      </w:pPr>
    </w:p>
    <w:p w:rsidR="00DB2DA3" w:rsidRDefault="00DB2DA3" w:rsidP="00DB2DA3">
      <w:pPr>
        <w:tabs>
          <w:tab w:val="left" w:pos="6521"/>
        </w:tabs>
        <w:spacing w:before="120" w:after="120" w:line="240" w:lineRule="auto"/>
        <w:ind w:firstLine="708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Л.Б.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Іванова</w:t>
      </w:r>
      <w:proofErr w:type="spellEnd"/>
    </w:p>
    <w:p w:rsidR="00DB2DA3" w:rsidRDefault="00DB2DA3" w:rsidP="00DB2DA3">
      <w:pPr>
        <w:tabs>
          <w:tab w:val="left" w:pos="6521"/>
        </w:tabs>
        <w:spacing w:before="120" w:after="120" w:line="240" w:lineRule="auto"/>
        <w:ind w:firstLine="708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p w:rsidR="00DB2DA3" w:rsidRPr="009F3F5A" w:rsidRDefault="00DB2DA3" w:rsidP="00DB2DA3">
      <w:pPr>
        <w:spacing w:after="0" w:line="240" w:lineRule="auto"/>
        <w:ind w:firstLine="7088"/>
        <w:jc w:val="both"/>
        <w:rPr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Матвійчук</w:t>
      </w:r>
      <w:proofErr w:type="spellEnd"/>
    </w:p>
    <w:p w:rsidR="00DB2DA3" w:rsidRPr="006439D8" w:rsidRDefault="00DB2DA3" w:rsidP="00DB2DA3">
      <w:pPr>
        <w:rPr>
          <w:lang w:val="uk-UA"/>
        </w:rPr>
      </w:pPr>
    </w:p>
    <w:p w:rsidR="007F71C7" w:rsidRPr="00DB2DA3" w:rsidRDefault="007F71C7" w:rsidP="00DB2DA3">
      <w:pPr>
        <w:rPr>
          <w:lang w:val="uk-UA"/>
        </w:rPr>
      </w:pPr>
    </w:p>
    <w:sectPr w:rsidR="007F71C7" w:rsidRPr="00DB2DA3" w:rsidSect="00494A18">
      <w:headerReference w:type="default" r:id="rId11"/>
      <w:foot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EC2" w:rsidRDefault="005C0EC2">
      <w:pPr>
        <w:spacing w:after="0" w:line="240" w:lineRule="auto"/>
      </w:pPr>
      <w:r>
        <w:separator/>
      </w:r>
    </w:p>
  </w:endnote>
  <w:endnote w:type="continuationSeparator" w:id="0">
    <w:p w:rsidR="005C0EC2" w:rsidRDefault="005C0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23E" w:rsidRDefault="005C0EC2">
    <w:pPr>
      <w:pStyle w:val="a7"/>
      <w:jc w:val="right"/>
    </w:pPr>
  </w:p>
  <w:p w:rsidR="008B623E" w:rsidRDefault="005C0E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EC2" w:rsidRDefault="005C0EC2">
      <w:pPr>
        <w:spacing w:after="0" w:line="240" w:lineRule="auto"/>
      </w:pPr>
      <w:r>
        <w:separator/>
      </w:r>
    </w:p>
  </w:footnote>
  <w:footnote w:type="continuationSeparator" w:id="0">
    <w:p w:rsidR="005C0EC2" w:rsidRDefault="005C0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1973394"/>
      <w:docPartObj>
        <w:docPartGallery w:val="Page Numbers (Top of Page)"/>
        <w:docPartUnique/>
      </w:docPartObj>
    </w:sdtPr>
    <w:sdtEndPr/>
    <w:sdtContent>
      <w:p w:rsidR="008B623E" w:rsidRDefault="009F3F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3A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B623E" w:rsidRDefault="005C0E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2C7"/>
    <w:rsid w:val="000071D4"/>
    <w:rsid w:val="000939B9"/>
    <w:rsid w:val="00096243"/>
    <w:rsid w:val="000A6715"/>
    <w:rsid w:val="0010205D"/>
    <w:rsid w:val="0016547D"/>
    <w:rsid w:val="001777E7"/>
    <w:rsid w:val="001866DA"/>
    <w:rsid w:val="001B2CA6"/>
    <w:rsid w:val="001B3EF8"/>
    <w:rsid w:val="00295A41"/>
    <w:rsid w:val="002B0906"/>
    <w:rsid w:val="002D4365"/>
    <w:rsid w:val="002F042E"/>
    <w:rsid w:val="0032113F"/>
    <w:rsid w:val="00406750"/>
    <w:rsid w:val="004343FC"/>
    <w:rsid w:val="0046282C"/>
    <w:rsid w:val="004C7DEE"/>
    <w:rsid w:val="004F1BB1"/>
    <w:rsid w:val="004F2919"/>
    <w:rsid w:val="00546652"/>
    <w:rsid w:val="005C0EC2"/>
    <w:rsid w:val="005C6E12"/>
    <w:rsid w:val="005D267C"/>
    <w:rsid w:val="0062580C"/>
    <w:rsid w:val="006407CD"/>
    <w:rsid w:val="006439D8"/>
    <w:rsid w:val="006610A1"/>
    <w:rsid w:val="00674721"/>
    <w:rsid w:val="00750D90"/>
    <w:rsid w:val="007B1E30"/>
    <w:rsid w:val="007D1257"/>
    <w:rsid w:val="007F71C7"/>
    <w:rsid w:val="00807151"/>
    <w:rsid w:val="00832155"/>
    <w:rsid w:val="0084748B"/>
    <w:rsid w:val="008526E9"/>
    <w:rsid w:val="0090170C"/>
    <w:rsid w:val="00903993"/>
    <w:rsid w:val="009101EF"/>
    <w:rsid w:val="009320B0"/>
    <w:rsid w:val="009517FF"/>
    <w:rsid w:val="009528FE"/>
    <w:rsid w:val="009A0F64"/>
    <w:rsid w:val="009B2C76"/>
    <w:rsid w:val="009C3F58"/>
    <w:rsid w:val="009C5A87"/>
    <w:rsid w:val="009E78F4"/>
    <w:rsid w:val="009F33A0"/>
    <w:rsid w:val="009F3F5A"/>
    <w:rsid w:val="00A24031"/>
    <w:rsid w:val="00A36E50"/>
    <w:rsid w:val="00A37E58"/>
    <w:rsid w:val="00A5230B"/>
    <w:rsid w:val="00AA12C7"/>
    <w:rsid w:val="00B06035"/>
    <w:rsid w:val="00C42E16"/>
    <w:rsid w:val="00C5712D"/>
    <w:rsid w:val="00C87840"/>
    <w:rsid w:val="00CA01CC"/>
    <w:rsid w:val="00CA34CE"/>
    <w:rsid w:val="00D15CBC"/>
    <w:rsid w:val="00D37E84"/>
    <w:rsid w:val="00D65095"/>
    <w:rsid w:val="00D65526"/>
    <w:rsid w:val="00D845D1"/>
    <w:rsid w:val="00DB2DA3"/>
    <w:rsid w:val="00DD7B04"/>
    <w:rsid w:val="00E46542"/>
    <w:rsid w:val="00E46E6D"/>
    <w:rsid w:val="00E502A4"/>
    <w:rsid w:val="00E87D58"/>
    <w:rsid w:val="00E97078"/>
    <w:rsid w:val="00F40FB8"/>
    <w:rsid w:val="00F8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B2A7"/>
  <w15:chartTrackingRefBased/>
  <w15:docId w15:val="{640882DE-7916-464A-B612-479D9CE5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F5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9F3F5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3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F3F5A"/>
    <w:rPr>
      <w:lang w:val="ru-RU"/>
    </w:rPr>
  </w:style>
  <w:style w:type="paragraph" w:styleId="a7">
    <w:name w:val="footer"/>
    <w:basedOn w:val="a"/>
    <w:link w:val="a8"/>
    <w:uiPriority w:val="99"/>
    <w:unhideWhenUsed/>
    <w:rsid w:val="009F3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F3F5A"/>
    <w:rPr>
      <w:lang w:val="ru-RU"/>
    </w:rPr>
  </w:style>
  <w:style w:type="paragraph" w:styleId="a9">
    <w:name w:val="No Spacing"/>
    <w:uiPriority w:val="1"/>
    <w:qFormat/>
    <w:rsid w:val="009F3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9F3F5A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43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439D8"/>
    <w:rPr>
      <w:rFonts w:ascii="Segoe UI" w:hAnsi="Segoe UI" w:cs="Segoe UI"/>
      <w:sz w:val="18"/>
      <w:szCs w:val="18"/>
      <w:lang w:val="ru-RU"/>
    </w:rPr>
  </w:style>
  <w:style w:type="paragraph" w:customStyle="1" w:styleId="rvps2">
    <w:name w:val="rvps2"/>
    <w:basedOn w:val="a"/>
    <w:rsid w:val="00E97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97078"/>
  </w:style>
  <w:style w:type="character" w:styleId="ac">
    <w:name w:val="Hyperlink"/>
    <w:basedOn w:val="a0"/>
    <w:uiPriority w:val="99"/>
    <w:semiHidden/>
    <w:unhideWhenUsed/>
    <w:rsid w:val="0084748B"/>
    <w:rPr>
      <w:color w:val="0000FF"/>
      <w:u w:val="single"/>
    </w:rPr>
  </w:style>
  <w:style w:type="character" w:customStyle="1" w:styleId="rvts46">
    <w:name w:val="rvts46"/>
    <w:basedOn w:val="a0"/>
    <w:rsid w:val="00847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18-1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18-15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1618-1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618-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11387</Words>
  <Characters>6491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68</cp:revision>
  <cp:lastPrinted>2020-04-16T10:48:00Z</cp:lastPrinted>
  <dcterms:created xsi:type="dcterms:W3CDTF">2020-04-09T09:16:00Z</dcterms:created>
  <dcterms:modified xsi:type="dcterms:W3CDTF">2020-04-22T11:09:00Z</dcterms:modified>
</cp:coreProperties>
</file>