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FE0" w:rsidRPr="008F0F3D" w:rsidRDefault="002A2055" w:rsidP="008E7586">
      <w:pPr>
        <w:ind w:right="-2"/>
        <w:jc w:val="center"/>
        <w:rPr>
          <w:b/>
          <w:szCs w:val="28"/>
        </w:rPr>
      </w:pPr>
      <w:r w:rsidRPr="008F0F3D">
        <w:rPr>
          <w:b/>
          <w:noProof/>
          <w:szCs w:val="28"/>
          <w:lang w:val="ru-RU"/>
        </w:rPr>
        <w:drawing>
          <wp:anchor distT="0" distB="0" distL="114300" distR="114300" simplePos="0" relativeHeight="251658240" behindDoc="0" locked="0" layoutInCell="1" allowOverlap="1" wp14:anchorId="3102CBCA" wp14:editId="5350D47B">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06095" cy="651510"/>
                    </a:xfrm>
                    <a:prstGeom prst="rect">
                      <a:avLst/>
                    </a:prstGeom>
                    <a:noFill/>
                  </pic:spPr>
                </pic:pic>
              </a:graphicData>
            </a:graphic>
          </wp:anchor>
        </w:drawing>
      </w:r>
    </w:p>
    <w:p w:rsidR="008E7586" w:rsidRPr="008F0F3D" w:rsidRDefault="001C5D81" w:rsidP="008E7586">
      <w:pPr>
        <w:ind w:right="-2"/>
        <w:jc w:val="center"/>
        <w:rPr>
          <w:b/>
          <w:szCs w:val="28"/>
        </w:rPr>
      </w:pPr>
      <w:r w:rsidRPr="008F0F3D">
        <w:rPr>
          <w:b/>
          <w:noProof/>
          <w:szCs w:val="28"/>
          <w:lang w:val="ru-RU"/>
        </w:rPr>
        <w:drawing>
          <wp:inline distT="0" distB="0" distL="0" distR="0" wp14:anchorId="5EF45331" wp14:editId="5E2856D7">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0"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8F0F3D" w:rsidRDefault="008E7586" w:rsidP="008E7586">
      <w:pPr>
        <w:jc w:val="center"/>
        <w:rPr>
          <w:b/>
          <w:sz w:val="26"/>
          <w:szCs w:val="26"/>
        </w:rPr>
      </w:pPr>
      <w:r w:rsidRPr="008F0F3D">
        <w:rPr>
          <w:b/>
          <w:sz w:val="26"/>
          <w:szCs w:val="26"/>
        </w:rPr>
        <w:t>УКРАЇНА</w:t>
      </w:r>
    </w:p>
    <w:p w:rsidR="008E7586" w:rsidRPr="008F0F3D" w:rsidRDefault="008E7586" w:rsidP="008E7586">
      <w:pPr>
        <w:jc w:val="center"/>
        <w:rPr>
          <w:b/>
          <w:szCs w:val="28"/>
        </w:rPr>
      </w:pPr>
      <w:r w:rsidRPr="008F0F3D">
        <w:rPr>
          <w:b/>
          <w:szCs w:val="28"/>
        </w:rPr>
        <w:t>ВИЩА РАДА ПРАВОСУДДЯ</w:t>
      </w:r>
    </w:p>
    <w:p w:rsidR="008E7586" w:rsidRPr="008F0F3D" w:rsidRDefault="008E7586" w:rsidP="008B6507">
      <w:pPr>
        <w:spacing w:line="228" w:lineRule="auto"/>
        <w:ind w:firstLine="709"/>
        <w:jc w:val="center"/>
        <w:rPr>
          <w:b/>
          <w:szCs w:val="28"/>
        </w:rPr>
      </w:pPr>
      <w:r w:rsidRPr="008F0F3D">
        <w:rPr>
          <w:b/>
          <w:szCs w:val="28"/>
        </w:rPr>
        <w:t>ПЕРША ДИСЦИПЛІНАРНА ПАЛАТА</w:t>
      </w:r>
    </w:p>
    <w:p w:rsidR="008E7586" w:rsidRPr="008F0F3D" w:rsidRDefault="008E7586" w:rsidP="008E7586">
      <w:pPr>
        <w:jc w:val="center"/>
        <w:rPr>
          <w:b/>
        </w:rPr>
      </w:pPr>
      <w:r w:rsidRPr="008F0F3D">
        <w:rPr>
          <w:b/>
        </w:rPr>
        <w:t>УХВАЛА</w:t>
      </w:r>
    </w:p>
    <w:p w:rsidR="008E7586" w:rsidRPr="008F0F3D"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8F0F3D" w:rsidRPr="008F0F3D" w:rsidTr="0009507A">
        <w:tc>
          <w:tcPr>
            <w:tcW w:w="3284" w:type="dxa"/>
            <w:tcBorders>
              <w:top w:val="nil"/>
              <w:left w:val="nil"/>
              <w:bottom w:val="nil"/>
              <w:right w:val="nil"/>
            </w:tcBorders>
          </w:tcPr>
          <w:p w:rsidR="008E7586" w:rsidRPr="008F0F3D" w:rsidRDefault="00893980" w:rsidP="00893980">
            <w:pPr>
              <w:rPr>
                <w:b/>
                <w:szCs w:val="28"/>
              </w:rPr>
            </w:pPr>
            <w:r>
              <w:rPr>
                <w:noProof/>
                <w:szCs w:val="28"/>
              </w:rPr>
              <w:t>16 квітня 2020 року</w:t>
            </w:r>
          </w:p>
        </w:tc>
        <w:tc>
          <w:tcPr>
            <w:tcW w:w="3285" w:type="dxa"/>
            <w:tcBorders>
              <w:top w:val="nil"/>
              <w:left w:val="nil"/>
              <w:bottom w:val="nil"/>
              <w:right w:val="nil"/>
            </w:tcBorders>
          </w:tcPr>
          <w:p w:rsidR="008E7586" w:rsidRPr="008F0F3D" w:rsidRDefault="00B66550" w:rsidP="0009507A">
            <w:pPr>
              <w:jc w:val="center"/>
              <w:rPr>
                <w:b/>
              </w:rPr>
            </w:pPr>
            <w:r w:rsidRPr="008F0F3D">
              <w:t>Київ</w:t>
            </w:r>
            <w:r w:rsidRPr="008F0F3D">
              <w:rPr>
                <w:b/>
              </w:rPr>
              <w:t xml:space="preserve"> </w:t>
            </w:r>
            <w:r w:rsidR="008E7586" w:rsidRPr="008F0F3D">
              <w:rPr>
                <w:b/>
              </w:rPr>
              <w:t xml:space="preserve"> </w:t>
            </w:r>
          </w:p>
        </w:tc>
        <w:tc>
          <w:tcPr>
            <w:tcW w:w="3285" w:type="dxa"/>
            <w:tcBorders>
              <w:top w:val="nil"/>
              <w:left w:val="nil"/>
              <w:bottom w:val="nil"/>
              <w:right w:val="nil"/>
            </w:tcBorders>
          </w:tcPr>
          <w:p w:rsidR="008E7586" w:rsidRPr="008F0F3D" w:rsidRDefault="00B66550" w:rsidP="00893980">
            <w:pPr>
              <w:rPr>
                <w:b/>
                <w:szCs w:val="28"/>
              </w:rPr>
            </w:pPr>
            <w:r w:rsidRPr="008F0F3D">
              <w:rPr>
                <w:szCs w:val="28"/>
              </w:rPr>
              <w:t>№</w:t>
            </w:r>
            <w:r w:rsidR="00893980">
              <w:rPr>
                <w:szCs w:val="28"/>
              </w:rPr>
              <w:t xml:space="preserve"> 1017</w:t>
            </w:r>
            <w:r w:rsidR="00ED32CF" w:rsidRPr="008F0F3D">
              <w:rPr>
                <w:szCs w:val="28"/>
              </w:rPr>
              <w:t>/1дп/15-20</w:t>
            </w:r>
          </w:p>
        </w:tc>
      </w:tr>
    </w:tbl>
    <w:tbl>
      <w:tblPr>
        <w:tblW w:w="0" w:type="auto"/>
        <w:tblLook w:val="04A0" w:firstRow="1" w:lastRow="0" w:firstColumn="1" w:lastColumn="0" w:noHBand="0" w:noVBand="1"/>
      </w:tblPr>
      <w:tblGrid>
        <w:gridCol w:w="4786"/>
        <w:gridCol w:w="4603"/>
      </w:tblGrid>
      <w:tr w:rsidR="008F0F3D" w:rsidRPr="008F0F3D" w:rsidTr="00B86888">
        <w:trPr>
          <w:trHeight w:val="1718"/>
        </w:trPr>
        <w:tc>
          <w:tcPr>
            <w:tcW w:w="4786" w:type="dxa"/>
          </w:tcPr>
          <w:p w:rsidR="00E21700" w:rsidRPr="008F0F3D" w:rsidRDefault="00E21700" w:rsidP="00B86888">
            <w:pPr>
              <w:tabs>
                <w:tab w:val="left" w:pos="3544"/>
              </w:tabs>
              <w:ind w:right="175"/>
              <w:jc w:val="both"/>
              <w:rPr>
                <w:b/>
                <w:sz w:val="25"/>
                <w:szCs w:val="25"/>
              </w:rPr>
            </w:pPr>
          </w:p>
          <w:p w:rsidR="00813BF2" w:rsidRPr="008F0F3D" w:rsidRDefault="008E7586" w:rsidP="00F261A6">
            <w:pPr>
              <w:tabs>
                <w:tab w:val="left" w:pos="3544"/>
                <w:tab w:val="left" w:pos="4111"/>
                <w:tab w:val="left" w:pos="4678"/>
              </w:tabs>
              <w:ind w:right="317"/>
              <w:jc w:val="both"/>
              <w:rPr>
                <w:b/>
                <w:sz w:val="26"/>
                <w:szCs w:val="26"/>
              </w:rPr>
            </w:pPr>
            <w:r w:rsidRPr="008F0F3D">
              <w:rPr>
                <w:b/>
                <w:sz w:val="26"/>
                <w:szCs w:val="26"/>
              </w:rPr>
              <w:t xml:space="preserve">Про </w:t>
            </w:r>
            <w:r w:rsidR="00C3257C" w:rsidRPr="008F0F3D">
              <w:rPr>
                <w:b/>
                <w:sz w:val="26"/>
                <w:szCs w:val="26"/>
              </w:rPr>
              <w:t xml:space="preserve">відмову у </w:t>
            </w:r>
            <w:r w:rsidRPr="008F0F3D">
              <w:rPr>
                <w:b/>
                <w:sz w:val="26"/>
                <w:szCs w:val="26"/>
              </w:rPr>
              <w:t>відкритт</w:t>
            </w:r>
            <w:r w:rsidR="00C3257C" w:rsidRPr="008F0F3D">
              <w:rPr>
                <w:b/>
                <w:sz w:val="26"/>
                <w:szCs w:val="26"/>
              </w:rPr>
              <w:t>і</w:t>
            </w:r>
            <w:r w:rsidRPr="008F0F3D">
              <w:rPr>
                <w:b/>
                <w:sz w:val="26"/>
                <w:szCs w:val="26"/>
              </w:rPr>
              <w:t xml:space="preserve"> дисциплінарної справи стосовно судді </w:t>
            </w:r>
            <w:proofErr w:type="spellStart"/>
            <w:r w:rsidR="008F0F3D" w:rsidRPr="008F0F3D">
              <w:rPr>
                <w:b/>
                <w:sz w:val="26"/>
                <w:szCs w:val="26"/>
              </w:rPr>
              <w:t>Горохівського</w:t>
            </w:r>
            <w:proofErr w:type="spellEnd"/>
            <w:r w:rsidR="008F0F3D" w:rsidRPr="008F0F3D">
              <w:rPr>
                <w:b/>
                <w:sz w:val="26"/>
                <w:szCs w:val="26"/>
              </w:rPr>
              <w:t xml:space="preserve"> районного суду Волинської області </w:t>
            </w:r>
            <w:proofErr w:type="spellStart"/>
            <w:r w:rsidR="008F0F3D" w:rsidRPr="008F0F3D">
              <w:rPr>
                <w:b/>
                <w:sz w:val="26"/>
                <w:szCs w:val="26"/>
              </w:rPr>
              <w:t>Адамчук</w:t>
            </w:r>
            <w:proofErr w:type="spellEnd"/>
            <w:r w:rsidR="008F0F3D" w:rsidRPr="008F0F3D">
              <w:rPr>
                <w:b/>
                <w:sz w:val="26"/>
                <w:szCs w:val="26"/>
              </w:rPr>
              <w:t xml:space="preserve"> Г.М.</w:t>
            </w:r>
          </w:p>
          <w:p w:rsidR="00910B2D" w:rsidRPr="008F0F3D" w:rsidRDefault="00910B2D" w:rsidP="00B86888">
            <w:pPr>
              <w:tabs>
                <w:tab w:val="left" w:pos="3402"/>
                <w:tab w:val="left" w:pos="3544"/>
              </w:tabs>
              <w:ind w:right="175"/>
              <w:jc w:val="both"/>
              <w:rPr>
                <w:b/>
                <w:sz w:val="25"/>
                <w:szCs w:val="25"/>
              </w:rPr>
            </w:pPr>
          </w:p>
        </w:tc>
        <w:tc>
          <w:tcPr>
            <w:tcW w:w="4603" w:type="dxa"/>
          </w:tcPr>
          <w:p w:rsidR="008E7586" w:rsidRPr="008F0F3D" w:rsidRDefault="008E7586" w:rsidP="0009507A">
            <w:pPr>
              <w:spacing w:line="276" w:lineRule="auto"/>
              <w:ind w:firstLine="720"/>
              <w:rPr>
                <w:b/>
                <w:szCs w:val="28"/>
              </w:rPr>
            </w:pPr>
          </w:p>
        </w:tc>
      </w:tr>
    </w:tbl>
    <w:p w:rsidR="00B86888" w:rsidRPr="008F0F3D" w:rsidRDefault="00E87FEE" w:rsidP="00137ED7">
      <w:pPr>
        <w:spacing w:line="257" w:lineRule="auto"/>
        <w:ind w:firstLine="709"/>
        <w:jc w:val="both"/>
        <w:rPr>
          <w:szCs w:val="28"/>
        </w:rPr>
      </w:pPr>
      <w:r w:rsidRPr="008F0F3D">
        <w:rPr>
          <w:rStyle w:val="FontStyle14"/>
          <w:sz w:val="28"/>
          <w:szCs w:val="28"/>
        </w:rPr>
        <w:t>Перша Дисциплінарна палата Вищої ради правосуддя у складі головуючого –</w:t>
      </w:r>
      <w:r w:rsidRPr="008F0F3D">
        <w:rPr>
          <w:szCs w:val="28"/>
        </w:rPr>
        <w:t xml:space="preserve"> </w:t>
      </w:r>
      <w:proofErr w:type="spellStart"/>
      <w:r w:rsidRPr="008F0F3D">
        <w:rPr>
          <w:szCs w:val="28"/>
        </w:rPr>
        <w:t>Маловацького</w:t>
      </w:r>
      <w:proofErr w:type="spellEnd"/>
      <w:r w:rsidRPr="008F0F3D">
        <w:rPr>
          <w:szCs w:val="28"/>
        </w:rPr>
        <w:t xml:space="preserve"> О.В., член</w:t>
      </w:r>
      <w:r w:rsidR="00D46EA9" w:rsidRPr="008F0F3D">
        <w:rPr>
          <w:szCs w:val="28"/>
        </w:rPr>
        <w:t>ів</w:t>
      </w:r>
      <w:r w:rsidRPr="008F0F3D">
        <w:rPr>
          <w:szCs w:val="28"/>
        </w:rPr>
        <w:t xml:space="preserve"> </w:t>
      </w:r>
      <w:proofErr w:type="spellStart"/>
      <w:r w:rsidRPr="008F0F3D">
        <w:rPr>
          <w:szCs w:val="28"/>
        </w:rPr>
        <w:t>Краснощокової</w:t>
      </w:r>
      <w:proofErr w:type="spellEnd"/>
      <w:r w:rsidRPr="008F0F3D">
        <w:rPr>
          <w:szCs w:val="28"/>
        </w:rPr>
        <w:t xml:space="preserve"> Н.С., </w:t>
      </w:r>
      <w:r w:rsidR="00D46EA9" w:rsidRPr="008F0F3D">
        <w:rPr>
          <w:szCs w:val="28"/>
        </w:rPr>
        <w:br/>
      </w:r>
      <w:proofErr w:type="spellStart"/>
      <w:r w:rsidR="00D46EA9" w:rsidRPr="008F0F3D">
        <w:rPr>
          <w:szCs w:val="28"/>
        </w:rPr>
        <w:t>Розваляєвої</w:t>
      </w:r>
      <w:proofErr w:type="spellEnd"/>
      <w:r w:rsidR="00D46EA9" w:rsidRPr="008F0F3D">
        <w:rPr>
          <w:szCs w:val="28"/>
        </w:rPr>
        <w:t xml:space="preserve"> Т.С., Шелест С.Б., </w:t>
      </w:r>
      <w:r w:rsidRPr="008F0F3D">
        <w:rPr>
          <w:rStyle w:val="FontStyle14"/>
          <w:sz w:val="28"/>
          <w:szCs w:val="28"/>
        </w:rPr>
        <w:t xml:space="preserve">розглянувши висновок доповідача – члена Першої Дисциплінарної палати Вищої ради правосуддя </w:t>
      </w:r>
      <w:proofErr w:type="spellStart"/>
      <w:r w:rsidRPr="008F0F3D">
        <w:rPr>
          <w:rStyle w:val="FontStyle14"/>
          <w:sz w:val="28"/>
          <w:szCs w:val="28"/>
        </w:rPr>
        <w:t>Шапрана</w:t>
      </w:r>
      <w:proofErr w:type="spellEnd"/>
      <w:r w:rsidRPr="008F0F3D">
        <w:rPr>
          <w:rStyle w:val="FontStyle14"/>
          <w:sz w:val="28"/>
          <w:szCs w:val="28"/>
        </w:rPr>
        <w:t xml:space="preserve"> В.В. </w:t>
      </w:r>
      <w:r w:rsidR="00B86888" w:rsidRPr="008F0F3D">
        <w:rPr>
          <w:szCs w:val="28"/>
        </w:rPr>
        <w:t xml:space="preserve">за результатами попередньої перевірки відомостей, викладених у дисциплінарній скарзі </w:t>
      </w:r>
      <w:r w:rsidR="008F0F3D" w:rsidRPr="008F0F3D">
        <w:rPr>
          <w:rStyle w:val="FontStyle14"/>
          <w:sz w:val="28"/>
          <w:szCs w:val="28"/>
        </w:rPr>
        <w:t xml:space="preserve">Мороза Ігоря </w:t>
      </w:r>
      <w:proofErr w:type="spellStart"/>
      <w:r w:rsidR="008F0F3D" w:rsidRPr="008F0F3D">
        <w:rPr>
          <w:rStyle w:val="FontStyle14"/>
          <w:sz w:val="28"/>
          <w:szCs w:val="28"/>
        </w:rPr>
        <w:t>Славіковича</w:t>
      </w:r>
      <w:proofErr w:type="spellEnd"/>
      <w:r w:rsidR="008F0F3D" w:rsidRPr="008F0F3D">
        <w:rPr>
          <w:rStyle w:val="FontStyle14"/>
          <w:sz w:val="28"/>
          <w:szCs w:val="28"/>
        </w:rPr>
        <w:t xml:space="preserve"> стосовно судді </w:t>
      </w:r>
      <w:proofErr w:type="spellStart"/>
      <w:r w:rsidR="008F0F3D" w:rsidRPr="008F0F3D">
        <w:rPr>
          <w:rStyle w:val="FontStyle14"/>
          <w:sz w:val="28"/>
          <w:szCs w:val="28"/>
        </w:rPr>
        <w:t>Горохівського</w:t>
      </w:r>
      <w:proofErr w:type="spellEnd"/>
      <w:r w:rsidR="008F0F3D" w:rsidRPr="008F0F3D">
        <w:rPr>
          <w:rStyle w:val="FontStyle14"/>
          <w:sz w:val="28"/>
          <w:szCs w:val="28"/>
        </w:rPr>
        <w:t xml:space="preserve"> районного суду Волинської області </w:t>
      </w:r>
      <w:proofErr w:type="spellStart"/>
      <w:r w:rsidR="008F0F3D" w:rsidRPr="008F0F3D">
        <w:rPr>
          <w:rStyle w:val="FontStyle14"/>
          <w:sz w:val="28"/>
          <w:szCs w:val="28"/>
        </w:rPr>
        <w:t>Адамчук</w:t>
      </w:r>
      <w:proofErr w:type="spellEnd"/>
      <w:r w:rsidR="008F0F3D" w:rsidRPr="008F0F3D">
        <w:rPr>
          <w:rStyle w:val="FontStyle14"/>
          <w:sz w:val="28"/>
          <w:szCs w:val="28"/>
        </w:rPr>
        <w:t xml:space="preserve"> Галини Миколаївни</w:t>
      </w:r>
      <w:r w:rsidR="00B86888" w:rsidRPr="008F0F3D">
        <w:rPr>
          <w:szCs w:val="28"/>
        </w:rPr>
        <w:t>,</w:t>
      </w:r>
    </w:p>
    <w:p w:rsidR="00D76BB0" w:rsidRPr="008F0F3D" w:rsidRDefault="00D76BB0" w:rsidP="00137ED7">
      <w:pPr>
        <w:spacing w:line="257" w:lineRule="auto"/>
        <w:ind w:firstLine="709"/>
        <w:jc w:val="both"/>
        <w:rPr>
          <w:szCs w:val="28"/>
        </w:rPr>
      </w:pPr>
    </w:p>
    <w:p w:rsidR="008E7586" w:rsidRPr="008F0F3D" w:rsidRDefault="008E7586" w:rsidP="00137ED7">
      <w:pPr>
        <w:spacing w:line="257" w:lineRule="auto"/>
        <w:ind w:firstLine="709"/>
        <w:jc w:val="center"/>
        <w:rPr>
          <w:b/>
          <w:szCs w:val="28"/>
        </w:rPr>
      </w:pPr>
      <w:r w:rsidRPr="008F0F3D">
        <w:rPr>
          <w:b/>
          <w:szCs w:val="28"/>
        </w:rPr>
        <w:t>встановила:</w:t>
      </w:r>
    </w:p>
    <w:p w:rsidR="0060091D" w:rsidRPr="008F0F3D" w:rsidRDefault="0060091D" w:rsidP="00137ED7">
      <w:pPr>
        <w:spacing w:line="257" w:lineRule="auto"/>
        <w:ind w:firstLine="709"/>
        <w:jc w:val="both"/>
        <w:rPr>
          <w:szCs w:val="28"/>
        </w:rPr>
      </w:pPr>
    </w:p>
    <w:p w:rsidR="008F0F3D" w:rsidRPr="008F0F3D" w:rsidRDefault="008F0F3D" w:rsidP="008F0F3D">
      <w:pPr>
        <w:widowControl w:val="0"/>
        <w:jc w:val="both"/>
        <w:rPr>
          <w:rFonts w:eastAsiaTheme="minorHAnsi"/>
          <w:bCs/>
          <w:lang w:eastAsia="en-US"/>
        </w:rPr>
      </w:pPr>
      <w:r w:rsidRPr="008F0F3D">
        <w:rPr>
          <w:rFonts w:eastAsiaTheme="minorHAnsi"/>
          <w:bCs/>
          <w:lang w:eastAsia="en-US"/>
        </w:rPr>
        <w:t xml:space="preserve">до Вищої ради правосуддя 5 березня 2020 року надійшла дисциплінарна скарга Мороза І.С. (єдиний унікальний номер М-1594/0/7-20) на дії судді </w:t>
      </w:r>
      <w:proofErr w:type="spellStart"/>
      <w:r w:rsidRPr="008F0F3D">
        <w:rPr>
          <w:rStyle w:val="FontStyle14"/>
          <w:szCs w:val="28"/>
        </w:rPr>
        <w:t>Горохівського</w:t>
      </w:r>
      <w:proofErr w:type="spellEnd"/>
      <w:r w:rsidRPr="008F0F3D">
        <w:rPr>
          <w:rStyle w:val="FontStyle14"/>
          <w:szCs w:val="28"/>
        </w:rPr>
        <w:t xml:space="preserve"> районного суду Волинської області</w:t>
      </w:r>
      <w:r w:rsidRPr="008F0F3D">
        <w:rPr>
          <w:rFonts w:eastAsiaTheme="minorHAnsi"/>
          <w:bCs/>
          <w:lang w:eastAsia="en-US"/>
        </w:rPr>
        <w:t xml:space="preserve"> </w:t>
      </w:r>
      <w:proofErr w:type="spellStart"/>
      <w:r w:rsidRPr="008F0F3D">
        <w:rPr>
          <w:rFonts w:eastAsiaTheme="minorHAnsi"/>
          <w:bCs/>
          <w:lang w:eastAsia="en-US"/>
        </w:rPr>
        <w:t>Адамчук</w:t>
      </w:r>
      <w:proofErr w:type="spellEnd"/>
      <w:r w:rsidRPr="008F0F3D">
        <w:rPr>
          <w:rFonts w:eastAsiaTheme="minorHAnsi"/>
          <w:bCs/>
          <w:lang w:eastAsia="en-US"/>
        </w:rPr>
        <w:t xml:space="preserve"> Г.М. під час здійснення правосуддя у справі № 160/773/17.</w:t>
      </w:r>
    </w:p>
    <w:p w:rsidR="008F0F3D" w:rsidRPr="008F0F3D" w:rsidRDefault="008F0F3D" w:rsidP="008F0F3D">
      <w:pPr>
        <w:widowControl w:val="0"/>
        <w:ind w:firstLine="709"/>
        <w:jc w:val="both"/>
        <w:rPr>
          <w:rFonts w:eastAsiaTheme="minorHAnsi"/>
          <w:bCs/>
          <w:lang w:eastAsia="en-US"/>
        </w:rPr>
      </w:pPr>
      <w:r w:rsidRPr="008F0F3D">
        <w:rPr>
          <w:rFonts w:eastAsiaTheme="minorHAnsi"/>
          <w:bCs/>
          <w:lang w:eastAsia="en-US"/>
        </w:rPr>
        <w:t xml:space="preserve">Відповідно до протоколу автоматизованого розподілу матеріалу між членами Вищої ради правосуддя від 5 березня 2020 року вказана скарга передана </w:t>
      </w:r>
      <w:proofErr w:type="spellStart"/>
      <w:r w:rsidRPr="008F0F3D">
        <w:rPr>
          <w:rFonts w:eastAsiaTheme="minorHAnsi"/>
          <w:bCs/>
          <w:lang w:eastAsia="en-US"/>
        </w:rPr>
        <w:t>Шапрану</w:t>
      </w:r>
      <w:proofErr w:type="spellEnd"/>
      <w:r w:rsidRPr="008F0F3D">
        <w:rPr>
          <w:rFonts w:eastAsiaTheme="minorHAnsi"/>
          <w:bCs/>
          <w:lang w:eastAsia="en-US"/>
        </w:rPr>
        <w:t xml:space="preserve"> В.В.</w:t>
      </w:r>
    </w:p>
    <w:p w:rsidR="008F0F3D" w:rsidRPr="008F0F3D" w:rsidRDefault="008F0F3D" w:rsidP="008F0F3D">
      <w:pPr>
        <w:widowControl w:val="0"/>
        <w:ind w:firstLine="709"/>
        <w:jc w:val="both"/>
        <w:rPr>
          <w:rFonts w:eastAsiaTheme="minorHAnsi"/>
        </w:rPr>
      </w:pPr>
      <w:r w:rsidRPr="008F0F3D">
        <w:rPr>
          <w:rFonts w:eastAsiaTheme="minorHAnsi"/>
          <w:bCs/>
          <w:lang w:eastAsia="en-US"/>
        </w:rPr>
        <w:t xml:space="preserve">У дисциплінарній скарзі Мороз І.С. зазначив, що суддя </w:t>
      </w:r>
      <w:proofErr w:type="spellStart"/>
      <w:r w:rsidRPr="008F0F3D">
        <w:rPr>
          <w:rFonts w:eastAsiaTheme="minorHAnsi"/>
          <w:bCs/>
          <w:lang w:eastAsia="en-US"/>
        </w:rPr>
        <w:t>Адамчук</w:t>
      </w:r>
      <w:proofErr w:type="spellEnd"/>
      <w:r w:rsidRPr="008F0F3D">
        <w:rPr>
          <w:rFonts w:eastAsiaTheme="minorHAnsi"/>
          <w:bCs/>
          <w:lang w:eastAsia="en-US"/>
        </w:rPr>
        <w:t xml:space="preserve"> Г.М. затягнула розгляд справи № 160/773/17. </w:t>
      </w:r>
      <w:r w:rsidRPr="008F0F3D">
        <w:rPr>
          <w:rFonts w:eastAsiaTheme="minorHAnsi"/>
          <w:lang w:eastAsia="en-US"/>
        </w:rPr>
        <w:t xml:space="preserve">З огляду на зазначене просить притягнути суддю </w:t>
      </w:r>
      <w:proofErr w:type="spellStart"/>
      <w:r w:rsidRPr="008F0F3D">
        <w:rPr>
          <w:rFonts w:eastAsiaTheme="minorHAnsi"/>
          <w:lang w:eastAsia="en-US"/>
        </w:rPr>
        <w:t>Адамчук</w:t>
      </w:r>
      <w:proofErr w:type="spellEnd"/>
      <w:r w:rsidRPr="008F0F3D">
        <w:rPr>
          <w:rFonts w:eastAsiaTheme="minorHAnsi"/>
          <w:lang w:eastAsia="en-US"/>
        </w:rPr>
        <w:t xml:space="preserve"> Г.М. до дисциплінарної відповідальності, оскільки її дії слід кваліфікувати як дисциплінарні проступки, передбачені підпунктом «а» пункту 1, пунктом 2 частини першої </w:t>
      </w:r>
      <w:r w:rsidRPr="008F0F3D">
        <w:rPr>
          <w:rFonts w:eastAsiaTheme="minorHAnsi"/>
        </w:rPr>
        <w:t>статті 106 Закону України «Про судоустрій і статус суддів».</w:t>
      </w:r>
    </w:p>
    <w:p w:rsidR="008F0F3D" w:rsidRPr="008F0F3D" w:rsidRDefault="008F0F3D" w:rsidP="008F0F3D">
      <w:pPr>
        <w:widowControl w:val="0"/>
        <w:ind w:firstLine="709"/>
        <w:jc w:val="both"/>
        <w:rPr>
          <w:rFonts w:eastAsiaTheme="minorHAnsi"/>
          <w:bCs/>
          <w:lang w:eastAsia="en-US"/>
        </w:rPr>
      </w:pPr>
      <w:r w:rsidRPr="008F0F3D">
        <w:rPr>
          <w:rFonts w:eastAsiaTheme="minorHAnsi"/>
          <w:bCs/>
          <w:lang w:eastAsia="en-US"/>
        </w:rPr>
        <w:t xml:space="preserve">З урахуванням витребуваних з </w:t>
      </w:r>
      <w:proofErr w:type="spellStart"/>
      <w:r w:rsidRPr="008F0F3D">
        <w:rPr>
          <w:rFonts w:eastAsiaTheme="minorHAnsi"/>
          <w:bCs/>
          <w:lang w:eastAsia="en-US"/>
        </w:rPr>
        <w:t>Горохівського</w:t>
      </w:r>
      <w:proofErr w:type="spellEnd"/>
      <w:r w:rsidRPr="008F0F3D">
        <w:rPr>
          <w:rFonts w:eastAsiaTheme="minorHAnsi"/>
          <w:bCs/>
          <w:lang w:eastAsia="en-US"/>
        </w:rPr>
        <w:t xml:space="preserve"> районного суду Волинської області матеріалів, наданих суддею </w:t>
      </w:r>
      <w:proofErr w:type="spellStart"/>
      <w:r w:rsidRPr="008F0F3D">
        <w:rPr>
          <w:rFonts w:eastAsiaTheme="minorHAnsi"/>
          <w:bCs/>
          <w:lang w:eastAsia="en-US"/>
        </w:rPr>
        <w:t>Адамчук</w:t>
      </w:r>
      <w:proofErr w:type="spellEnd"/>
      <w:r w:rsidRPr="008F0F3D">
        <w:rPr>
          <w:rFonts w:eastAsiaTheme="minorHAnsi"/>
          <w:bCs/>
          <w:lang w:eastAsia="en-US"/>
        </w:rPr>
        <w:t xml:space="preserve"> Г.М. пояснень попередньою перевіркою дисциплінарної скарги встановлено таке.</w:t>
      </w:r>
    </w:p>
    <w:p w:rsidR="008F0F3D" w:rsidRPr="008F0F3D" w:rsidRDefault="008F0F3D" w:rsidP="008F0F3D">
      <w:pPr>
        <w:widowControl w:val="0"/>
        <w:ind w:firstLine="709"/>
        <w:jc w:val="both"/>
        <w:rPr>
          <w:rFonts w:eastAsiaTheme="minorHAnsi"/>
          <w:bCs/>
          <w:lang w:eastAsia="en-US"/>
        </w:rPr>
      </w:pPr>
      <w:r w:rsidRPr="008F0F3D">
        <w:rPr>
          <w:rFonts w:eastAsiaTheme="minorHAnsi"/>
          <w:bCs/>
          <w:lang w:eastAsia="en-US"/>
        </w:rPr>
        <w:t xml:space="preserve">23 січня 2018 року згідно з протоколом автоматичного розподілу справу № 160/773/17 за обвинуваченням </w:t>
      </w:r>
      <w:r w:rsidR="00893980">
        <w:rPr>
          <w:rFonts w:eastAsiaTheme="minorHAnsi"/>
          <w:bCs/>
          <w:lang w:eastAsia="en-US"/>
        </w:rPr>
        <w:t>ОСОБА_1</w:t>
      </w:r>
      <w:r w:rsidRPr="008F0F3D">
        <w:rPr>
          <w:rFonts w:eastAsiaTheme="minorHAnsi"/>
          <w:bCs/>
          <w:lang w:eastAsia="en-US"/>
        </w:rPr>
        <w:t xml:space="preserve"> у вчиненні кримінального правопорушення, передбаченого частиною першою статті 140 Кримінального кодексу України, передано судді </w:t>
      </w:r>
      <w:proofErr w:type="spellStart"/>
      <w:r w:rsidRPr="008F0F3D">
        <w:rPr>
          <w:rFonts w:eastAsiaTheme="minorHAnsi"/>
          <w:bCs/>
          <w:lang w:eastAsia="en-US"/>
        </w:rPr>
        <w:t>Чонку</w:t>
      </w:r>
      <w:proofErr w:type="spellEnd"/>
      <w:r w:rsidRPr="008F0F3D">
        <w:rPr>
          <w:rFonts w:eastAsiaTheme="minorHAnsi"/>
          <w:bCs/>
          <w:lang w:eastAsia="en-US"/>
        </w:rPr>
        <w:t xml:space="preserve"> В.В.</w:t>
      </w:r>
    </w:p>
    <w:p w:rsidR="008F0F3D" w:rsidRPr="008F0F3D" w:rsidRDefault="008F0F3D" w:rsidP="008F0F3D">
      <w:pPr>
        <w:widowControl w:val="0"/>
        <w:ind w:firstLine="709"/>
        <w:jc w:val="both"/>
        <w:rPr>
          <w:rFonts w:eastAsiaTheme="minorHAnsi"/>
          <w:bCs/>
          <w:lang w:eastAsia="en-US"/>
        </w:rPr>
      </w:pPr>
      <w:r w:rsidRPr="008F0F3D">
        <w:rPr>
          <w:rFonts w:eastAsiaTheme="minorHAnsi"/>
          <w:bCs/>
          <w:lang w:eastAsia="en-US"/>
        </w:rPr>
        <w:t xml:space="preserve">6 серпня 2018 року у зв’язку із відрахуванням зі штату суду судді </w:t>
      </w:r>
      <w:r w:rsidRPr="008F0F3D">
        <w:rPr>
          <w:rFonts w:eastAsiaTheme="minorHAnsi"/>
          <w:bCs/>
          <w:lang w:eastAsia="en-US"/>
        </w:rPr>
        <w:lastRenderedPageBreak/>
        <w:t xml:space="preserve">Чонка В.В. згідно з протоколом повторного автоматизованого розподілу справу передано судді </w:t>
      </w:r>
      <w:proofErr w:type="spellStart"/>
      <w:r w:rsidRPr="008F0F3D">
        <w:rPr>
          <w:rFonts w:eastAsiaTheme="minorHAnsi"/>
          <w:bCs/>
          <w:lang w:eastAsia="en-US"/>
        </w:rPr>
        <w:t>Адамчук</w:t>
      </w:r>
      <w:proofErr w:type="spellEnd"/>
      <w:r w:rsidRPr="008F0F3D">
        <w:rPr>
          <w:rFonts w:eastAsiaTheme="minorHAnsi"/>
          <w:bCs/>
          <w:lang w:eastAsia="en-US"/>
        </w:rPr>
        <w:t xml:space="preserve"> Г.М.</w:t>
      </w:r>
    </w:p>
    <w:p w:rsidR="008F0F3D" w:rsidRPr="008F0F3D" w:rsidRDefault="008F0F3D" w:rsidP="008F0F3D">
      <w:pPr>
        <w:ind w:firstLine="709"/>
        <w:contextualSpacing/>
        <w:jc w:val="both"/>
      </w:pPr>
      <w:r w:rsidRPr="008F0F3D">
        <w:t xml:space="preserve">21 серпня 2018 року ухвалою судді </w:t>
      </w:r>
      <w:proofErr w:type="spellStart"/>
      <w:r w:rsidRPr="008F0F3D">
        <w:t>Адамчук</w:t>
      </w:r>
      <w:proofErr w:type="spellEnd"/>
      <w:r w:rsidRPr="008F0F3D">
        <w:t xml:space="preserve"> Г.М. справу прийнято до провадження та призначено до розгляду у підготовчому судовому засіданні на 8 листопада 2018 року; учасників кримінального провадження повідомлено про судове засідання.</w:t>
      </w:r>
    </w:p>
    <w:p w:rsidR="008F0F3D" w:rsidRPr="008F0F3D" w:rsidRDefault="008F0F3D" w:rsidP="008F0F3D">
      <w:pPr>
        <w:ind w:firstLine="709"/>
        <w:contextualSpacing/>
        <w:jc w:val="both"/>
      </w:pPr>
      <w:r w:rsidRPr="008F0F3D">
        <w:t xml:space="preserve">8 листопада 2018 року ухвалою судді </w:t>
      </w:r>
      <w:proofErr w:type="spellStart"/>
      <w:r w:rsidRPr="008F0F3D">
        <w:t>Адамчук</w:t>
      </w:r>
      <w:proofErr w:type="spellEnd"/>
      <w:r w:rsidRPr="008F0F3D">
        <w:t xml:space="preserve"> Г.М. справу призначено до судового розгляду на 16 листопада 2018 року; потерпілий Мороз І.С. у судове засідання не з’явився.</w:t>
      </w:r>
    </w:p>
    <w:p w:rsidR="008F0F3D" w:rsidRPr="008F0F3D" w:rsidRDefault="008F0F3D" w:rsidP="008F0F3D">
      <w:pPr>
        <w:ind w:firstLine="709"/>
        <w:contextualSpacing/>
        <w:jc w:val="both"/>
      </w:pPr>
      <w:r w:rsidRPr="008F0F3D">
        <w:t>16 листопада 2018 року за клопотанням прокурора розгляд справи відкладено на 12 лютого 2019 року; потерпілий Мороз І.С. у судове засідання не з’явився, про причини неявки суд не повідомив.</w:t>
      </w:r>
    </w:p>
    <w:p w:rsidR="008F0F3D" w:rsidRPr="008F0F3D" w:rsidRDefault="008F0F3D" w:rsidP="008F0F3D">
      <w:pPr>
        <w:ind w:firstLine="709"/>
        <w:contextualSpacing/>
        <w:jc w:val="both"/>
      </w:pPr>
      <w:r w:rsidRPr="008F0F3D">
        <w:t>12 лютого 2019 року за клопотанням прокурора розгляд справи відкладено на 28-29 травня 2019 року; потерпілий Мороз І.С., а також свідки у справі в судове засідання не з’явились, про причини неявки Мороз І.С. суд не повідомив.</w:t>
      </w:r>
    </w:p>
    <w:p w:rsidR="008F0F3D" w:rsidRPr="008F0F3D" w:rsidRDefault="008F0F3D" w:rsidP="008F0F3D">
      <w:pPr>
        <w:ind w:firstLine="709"/>
        <w:contextualSpacing/>
        <w:jc w:val="both"/>
      </w:pPr>
      <w:r w:rsidRPr="008F0F3D">
        <w:t xml:space="preserve">28 травня 2019 року проведено судове засідання за участю, в тому числі потерпілого Мороза І.С.; допитано свідка </w:t>
      </w:r>
      <w:r w:rsidR="00893980">
        <w:t>ОСОБА_2</w:t>
      </w:r>
      <w:r w:rsidRPr="008F0F3D">
        <w:t>, інші свідки не з’явились; розгляд справи відкладено на 22 серпня 2019 року.</w:t>
      </w:r>
    </w:p>
    <w:p w:rsidR="008F0F3D" w:rsidRPr="008F0F3D" w:rsidRDefault="008F0F3D" w:rsidP="008F0F3D">
      <w:pPr>
        <w:ind w:firstLine="709"/>
        <w:contextualSpacing/>
        <w:jc w:val="both"/>
      </w:pPr>
      <w:r w:rsidRPr="008F0F3D">
        <w:t xml:space="preserve">22 серпня 2019 року на адресу суду надійшли клопотання потерпілого Мороза І.С. про розгляд справи за його відсутності та забезпечення проведення судового засідання у режимі </w:t>
      </w:r>
      <w:proofErr w:type="spellStart"/>
      <w:r w:rsidRPr="008F0F3D">
        <w:t>відеоконференції</w:t>
      </w:r>
      <w:proofErr w:type="spellEnd"/>
      <w:r w:rsidRPr="008F0F3D">
        <w:t xml:space="preserve"> з Львівським окружним адміністративним судом, клопотання захисника обвинуваченого про відкладення розгляду справи у зв’язку із зайнятістю в іншому судовому засіданні у суді, який знаходиться поза межами Волинської області; у судове засідання не з’явився жодний учасник кримінального провадження, розгляд справи відкладено на 25 березня 2019 року.</w:t>
      </w:r>
    </w:p>
    <w:p w:rsidR="008F0F3D" w:rsidRPr="008F0F3D" w:rsidRDefault="008F0F3D" w:rsidP="008F0F3D">
      <w:pPr>
        <w:ind w:firstLine="709"/>
        <w:contextualSpacing/>
        <w:jc w:val="both"/>
      </w:pPr>
      <w:r w:rsidRPr="008F0F3D">
        <w:t>25 березня 2020 року розгляд справи відкладено на 30 березня 2020 року.</w:t>
      </w:r>
    </w:p>
    <w:p w:rsidR="008F0F3D" w:rsidRPr="008F0F3D" w:rsidRDefault="008F0F3D" w:rsidP="008F0F3D">
      <w:pPr>
        <w:ind w:firstLine="709"/>
        <w:contextualSpacing/>
        <w:jc w:val="both"/>
      </w:pPr>
      <w:r w:rsidRPr="008F0F3D">
        <w:t xml:space="preserve">30 березня 2020 року згідно з офіційним веб-сайтом «Судова влада» справа призначена до розгляду на 23 липня 2020 року. </w:t>
      </w:r>
    </w:p>
    <w:p w:rsidR="008F0F3D" w:rsidRPr="008F0F3D" w:rsidRDefault="008F0F3D" w:rsidP="008F0F3D">
      <w:pPr>
        <w:pStyle w:val="rvps2"/>
        <w:shd w:val="clear" w:color="auto" w:fill="FFFFFF"/>
        <w:spacing w:before="0" w:beforeAutospacing="0" w:after="0" w:afterAutospacing="0"/>
        <w:ind w:firstLine="709"/>
        <w:jc w:val="both"/>
        <w:rPr>
          <w:sz w:val="28"/>
          <w:szCs w:val="28"/>
          <w:lang w:val="uk-UA"/>
        </w:rPr>
      </w:pPr>
      <w:r w:rsidRPr="008F0F3D">
        <w:rPr>
          <w:sz w:val="28"/>
          <w:szCs w:val="28"/>
          <w:lang w:val="uk-UA"/>
        </w:rPr>
        <w:t>Відповідно до частини першої статті 318 Кримінального процесуального кодексу України (далі – КПК України) судовий розгляд має бути проведений і завершений протягом розумного строку.</w:t>
      </w:r>
    </w:p>
    <w:p w:rsidR="008F0F3D" w:rsidRPr="008F0F3D" w:rsidRDefault="008F0F3D" w:rsidP="008F0F3D">
      <w:pPr>
        <w:pStyle w:val="rvps2"/>
        <w:shd w:val="clear" w:color="auto" w:fill="FFFFFF"/>
        <w:spacing w:before="0" w:beforeAutospacing="0" w:after="0" w:afterAutospacing="0"/>
        <w:ind w:firstLine="709"/>
        <w:jc w:val="both"/>
        <w:rPr>
          <w:sz w:val="28"/>
          <w:szCs w:val="28"/>
          <w:lang w:val="uk-UA"/>
        </w:rPr>
      </w:pPr>
      <w:r w:rsidRPr="008F0F3D">
        <w:rPr>
          <w:sz w:val="28"/>
          <w:szCs w:val="28"/>
          <w:lang w:val="uk-UA"/>
        </w:rPr>
        <w:t>Право кожного на розгляд його справи у розумний строк гарантовано як на конвенційному рівні (частина перша статті 6 Конвенції про захист прав людини і основоположних свобод), так і на рівні національного законодавства (пункт 7 частини другої статті 129 Конституції України, стаття 28 Кримінального процесуального кодексу України).</w:t>
      </w:r>
    </w:p>
    <w:p w:rsidR="008F0F3D" w:rsidRPr="008F0F3D" w:rsidRDefault="008F0F3D" w:rsidP="008F0F3D">
      <w:pPr>
        <w:pStyle w:val="rvps2"/>
        <w:shd w:val="clear" w:color="auto" w:fill="FFFFFF"/>
        <w:spacing w:before="0" w:beforeAutospacing="0" w:after="0" w:afterAutospacing="0"/>
        <w:ind w:firstLine="709"/>
        <w:jc w:val="both"/>
        <w:rPr>
          <w:sz w:val="28"/>
          <w:szCs w:val="28"/>
          <w:lang w:val="uk-UA"/>
        </w:rPr>
      </w:pPr>
      <w:r w:rsidRPr="008F0F3D">
        <w:rPr>
          <w:sz w:val="28"/>
          <w:szCs w:val="28"/>
          <w:lang w:val="uk-UA"/>
        </w:rPr>
        <w:t xml:space="preserve">При цьому, частиною першою статті 28 КПК України передбачено, що </w:t>
      </w:r>
      <w:r w:rsidRPr="008F0F3D">
        <w:rPr>
          <w:sz w:val="28"/>
          <w:szCs w:val="28"/>
          <w:shd w:val="clear" w:color="auto" w:fill="FFFFFF"/>
          <w:lang w:val="uk-UA"/>
        </w:rPr>
        <w:t>розумними вважаються строки, що є об’єктивно необхідними для виконання процесуальних дій та прийняття процесуальних рішень.</w:t>
      </w:r>
    </w:p>
    <w:p w:rsidR="008F0F3D" w:rsidRPr="008F0F3D" w:rsidRDefault="008F0F3D" w:rsidP="008F0F3D">
      <w:pPr>
        <w:ind w:firstLine="709"/>
        <w:contextualSpacing/>
        <w:jc w:val="both"/>
        <w:rPr>
          <w:shd w:val="clear" w:color="auto" w:fill="FFFFFF"/>
        </w:rPr>
      </w:pPr>
      <w:r w:rsidRPr="008F0F3D">
        <w:rPr>
          <w:shd w:val="clear" w:color="auto" w:fill="FFFFFF"/>
        </w:rPr>
        <w:t xml:space="preserve">Європейський суд з прав людини (далі – ЄСПЛ) визначає такі основні критерії для окреслення меж розумності строків у кримінальних справах: складність справи, поведінка заявника та дії відповідних судових та </w:t>
      </w:r>
      <w:r w:rsidRPr="008F0F3D">
        <w:rPr>
          <w:shd w:val="clear" w:color="auto" w:fill="FFFFFF"/>
        </w:rPr>
        <w:lastRenderedPageBreak/>
        <w:t>адміністративних органів (пункт 99 рішення у справі «</w:t>
      </w:r>
      <w:proofErr w:type="spellStart"/>
      <w:r w:rsidRPr="008F0F3D">
        <w:fldChar w:fldCharType="begin"/>
      </w:r>
      <w:r w:rsidRPr="008F0F3D">
        <w:instrText xml:space="preserve"> HYPERLINK "http://hudoc.echr.coe.int/eng?i=001-57512" </w:instrText>
      </w:r>
      <w:r w:rsidRPr="008F0F3D">
        <w:fldChar w:fldCharType="separate"/>
      </w:r>
      <w:r w:rsidRPr="008F0F3D">
        <w:rPr>
          <w:rStyle w:val="ac"/>
          <w:color w:val="auto"/>
          <w:bdr w:val="none" w:sz="0" w:space="0" w:color="auto" w:frame="1"/>
        </w:rPr>
        <w:t>Konig</w:t>
      </w:r>
      <w:proofErr w:type="spellEnd"/>
      <w:r w:rsidRPr="008F0F3D">
        <w:rPr>
          <w:rStyle w:val="ac"/>
          <w:color w:val="auto"/>
          <w:bdr w:val="none" w:sz="0" w:space="0" w:color="auto" w:frame="1"/>
        </w:rPr>
        <w:t xml:space="preserve"> v. </w:t>
      </w:r>
      <w:proofErr w:type="spellStart"/>
      <w:r w:rsidRPr="008F0F3D">
        <w:rPr>
          <w:rStyle w:val="ac"/>
          <w:color w:val="auto"/>
          <w:bdr w:val="none" w:sz="0" w:space="0" w:color="auto" w:frame="1"/>
        </w:rPr>
        <w:t>Germany</w:t>
      </w:r>
      <w:proofErr w:type="spellEnd"/>
      <w:r w:rsidRPr="008F0F3D">
        <w:rPr>
          <w:rStyle w:val="ac"/>
          <w:color w:val="auto"/>
          <w:u w:val="none"/>
          <w:bdr w:val="none" w:sz="0" w:space="0" w:color="auto" w:frame="1"/>
        </w:rPr>
        <w:fldChar w:fldCharType="end"/>
      </w:r>
      <w:r w:rsidRPr="008F0F3D">
        <w:rPr>
          <w:shd w:val="clear" w:color="auto" w:fill="FFFFFF"/>
        </w:rPr>
        <w:t>», пункт 21 рішення у справі «</w:t>
      </w:r>
      <w:proofErr w:type="spellStart"/>
      <w:r w:rsidRPr="008F0F3D">
        <w:fldChar w:fldCharType="begin"/>
      </w:r>
      <w:r w:rsidRPr="008F0F3D">
        <w:instrText xml:space="preserve"> HYPERLINK "http://hudoc.echr.coe.int/eng?i=001-57544" </w:instrText>
      </w:r>
      <w:r w:rsidRPr="008F0F3D">
        <w:fldChar w:fldCharType="separate"/>
      </w:r>
      <w:r w:rsidRPr="008F0F3D">
        <w:rPr>
          <w:rStyle w:val="ac"/>
          <w:color w:val="auto"/>
          <w:bdr w:val="none" w:sz="0" w:space="0" w:color="auto" w:frame="1"/>
        </w:rPr>
        <w:t>Neumeister</w:t>
      </w:r>
      <w:proofErr w:type="spellEnd"/>
      <w:r w:rsidRPr="008F0F3D">
        <w:rPr>
          <w:rStyle w:val="ac"/>
          <w:color w:val="auto"/>
          <w:bdr w:val="none" w:sz="0" w:space="0" w:color="auto" w:frame="1"/>
        </w:rPr>
        <w:t xml:space="preserve"> v. </w:t>
      </w:r>
      <w:proofErr w:type="spellStart"/>
      <w:r w:rsidRPr="008F0F3D">
        <w:rPr>
          <w:rStyle w:val="ac"/>
          <w:color w:val="auto"/>
          <w:bdr w:val="none" w:sz="0" w:space="0" w:color="auto" w:frame="1"/>
        </w:rPr>
        <w:t>Austria</w:t>
      </w:r>
      <w:proofErr w:type="spellEnd"/>
      <w:r w:rsidRPr="008F0F3D">
        <w:rPr>
          <w:rStyle w:val="ac"/>
          <w:color w:val="auto"/>
          <w:u w:val="none"/>
          <w:bdr w:val="none" w:sz="0" w:space="0" w:color="auto" w:frame="1"/>
        </w:rPr>
        <w:fldChar w:fldCharType="end"/>
      </w:r>
      <w:r w:rsidRPr="008F0F3D">
        <w:t>», пункт 110 рішення у справі «</w:t>
      </w:r>
      <w:proofErr w:type="spellStart"/>
      <w:r w:rsidRPr="008F0F3D">
        <w:fldChar w:fldCharType="begin"/>
      </w:r>
      <w:r w:rsidRPr="008F0F3D">
        <w:instrText xml:space="preserve"> HYPERLINK "http://hudoc.echr.coe.int/eng?i=001-57567" </w:instrText>
      </w:r>
      <w:r w:rsidRPr="008F0F3D">
        <w:fldChar w:fldCharType="separate"/>
      </w:r>
      <w:r w:rsidRPr="008F0F3D">
        <w:rPr>
          <w:rStyle w:val="ac"/>
          <w:color w:val="auto"/>
          <w:bdr w:val="none" w:sz="0" w:space="0" w:color="auto" w:frame="1"/>
        </w:rPr>
        <w:t>Ringeisen</w:t>
      </w:r>
      <w:proofErr w:type="spellEnd"/>
      <w:r w:rsidRPr="008F0F3D">
        <w:rPr>
          <w:rStyle w:val="ac"/>
          <w:color w:val="auto"/>
          <w:bdr w:val="none" w:sz="0" w:space="0" w:color="auto" w:frame="1"/>
        </w:rPr>
        <w:t xml:space="preserve"> v. </w:t>
      </w:r>
      <w:proofErr w:type="spellStart"/>
      <w:r w:rsidRPr="008F0F3D">
        <w:rPr>
          <w:rStyle w:val="ac"/>
          <w:color w:val="auto"/>
          <w:bdr w:val="none" w:sz="0" w:space="0" w:color="auto" w:frame="1"/>
        </w:rPr>
        <w:t>Austria</w:t>
      </w:r>
      <w:proofErr w:type="spellEnd"/>
      <w:r w:rsidRPr="008F0F3D">
        <w:rPr>
          <w:rStyle w:val="ac"/>
          <w:color w:val="auto"/>
          <w:u w:val="none"/>
          <w:bdr w:val="none" w:sz="0" w:space="0" w:color="auto" w:frame="1"/>
        </w:rPr>
        <w:fldChar w:fldCharType="end"/>
      </w:r>
      <w:r w:rsidRPr="008F0F3D">
        <w:rPr>
          <w:shd w:val="clear" w:color="auto" w:fill="FFFFFF"/>
        </w:rPr>
        <w:t>», пункт 67 рішення у справі «</w:t>
      </w:r>
      <w:proofErr w:type="spellStart"/>
      <w:r w:rsidRPr="008F0F3D">
        <w:fldChar w:fldCharType="begin"/>
      </w:r>
      <w:r w:rsidRPr="008F0F3D">
        <w:instrText xml:space="preserve"> HYPERLINK "http://hudoc.echr.coe.int/eng?i=001-58226" </w:instrText>
      </w:r>
      <w:r w:rsidRPr="008F0F3D">
        <w:fldChar w:fldCharType="separate"/>
      </w:r>
      <w:r w:rsidRPr="008F0F3D">
        <w:rPr>
          <w:rStyle w:val="ac"/>
          <w:color w:val="auto"/>
          <w:bdr w:val="none" w:sz="0" w:space="0" w:color="auto" w:frame="1"/>
        </w:rPr>
        <w:t>Pelissier</w:t>
      </w:r>
      <w:proofErr w:type="spellEnd"/>
      <w:r w:rsidRPr="008F0F3D">
        <w:rPr>
          <w:rStyle w:val="ac"/>
          <w:color w:val="auto"/>
          <w:bdr w:val="none" w:sz="0" w:space="0" w:color="auto" w:frame="1"/>
        </w:rPr>
        <w:t xml:space="preserve"> </w:t>
      </w:r>
      <w:proofErr w:type="spellStart"/>
      <w:r w:rsidRPr="008F0F3D">
        <w:rPr>
          <w:rStyle w:val="ac"/>
          <w:color w:val="auto"/>
          <w:bdr w:val="none" w:sz="0" w:space="0" w:color="auto" w:frame="1"/>
        </w:rPr>
        <w:t>and</w:t>
      </w:r>
      <w:proofErr w:type="spellEnd"/>
      <w:r w:rsidRPr="008F0F3D">
        <w:rPr>
          <w:rStyle w:val="ac"/>
          <w:color w:val="auto"/>
          <w:bdr w:val="none" w:sz="0" w:space="0" w:color="auto" w:frame="1"/>
        </w:rPr>
        <w:t xml:space="preserve"> </w:t>
      </w:r>
      <w:proofErr w:type="spellStart"/>
      <w:r w:rsidRPr="008F0F3D">
        <w:rPr>
          <w:rStyle w:val="ac"/>
          <w:color w:val="auto"/>
          <w:bdr w:val="none" w:sz="0" w:space="0" w:color="auto" w:frame="1"/>
        </w:rPr>
        <w:t>Sassi</w:t>
      </w:r>
      <w:proofErr w:type="spellEnd"/>
      <w:r w:rsidRPr="008F0F3D">
        <w:rPr>
          <w:rStyle w:val="ac"/>
          <w:color w:val="auto"/>
          <w:bdr w:val="none" w:sz="0" w:space="0" w:color="auto" w:frame="1"/>
        </w:rPr>
        <w:t xml:space="preserve"> v. </w:t>
      </w:r>
      <w:proofErr w:type="spellStart"/>
      <w:r w:rsidRPr="008F0F3D">
        <w:rPr>
          <w:rStyle w:val="ac"/>
          <w:color w:val="auto"/>
          <w:bdr w:val="none" w:sz="0" w:space="0" w:color="auto" w:frame="1"/>
        </w:rPr>
        <w:t>France</w:t>
      </w:r>
      <w:proofErr w:type="spellEnd"/>
      <w:r w:rsidRPr="008F0F3D">
        <w:rPr>
          <w:rStyle w:val="ac"/>
          <w:color w:val="auto"/>
          <w:u w:val="none"/>
          <w:bdr w:val="none" w:sz="0" w:space="0" w:color="auto" w:frame="1"/>
        </w:rPr>
        <w:fldChar w:fldCharType="end"/>
      </w:r>
      <w:r w:rsidRPr="008F0F3D">
        <w:t>»</w:t>
      </w:r>
      <w:r w:rsidRPr="008F0F3D">
        <w:rPr>
          <w:shd w:val="clear" w:color="auto" w:fill="FFFFFF"/>
        </w:rPr>
        <w:t>, пункт 45 рішення у справі «</w:t>
      </w:r>
      <w:proofErr w:type="spellStart"/>
      <w:r w:rsidRPr="008F0F3D">
        <w:fldChar w:fldCharType="begin"/>
      </w:r>
      <w:r w:rsidRPr="008F0F3D">
        <w:instrText xml:space="preserve"> HYPERLINK "http://hudoc.echr.coe.int/eng?i=001-67818" </w:instrText>
      </w:r>
      <w:r w:rsidRPr="008F0F3D">
        <w:fldChar w:fldCharType="separate"/>
      </w:r>
      <w:r w:rsidRPr="008F0F3D">
        <w:rPr>
          <w:rStyle w:val="ac"/>
          <w:color w:val="auto"/>
          <w:bdr w:val="none" w:sz="0" w:space="0" w:color="auto" w:frame="1"/>
        </w:rPr>
        <w:t>Pedersen</w:t>
      </w:r>
      <w:proofErr w:type="spellEnd"/>
      <w:r w:rsidRPr="008F0F3D">
        <w:rPr>
          <w:rStyle w:val="ac"/>
          <w:color w:val="auto"/>
          <w:bdr w:val="none" w:sz="0" w:space="0" w:color="auto" w:frame="1"/>
        </w:rPr>
        <w:t xml:space="preserve"> </w:t>
      </w:r>
      <w:proofErr w:type="spellStart"/>
      <w:r w:rsidRPr="008F0F3D">
        <w:rPr>
          <w:rStyle w:val="ac"/>
          <w:color w:val="auto"/>
          <w:bdr w:val="none" w:sz="0" w:space="0" w:color="auto" w:frame="1"/>
        </w:rPr>
        <w:t>and Baadsg</w:t>
      </w:r>
      <w:proofErr w:type="spellEnd"/>
      <w:r w:rsidRPr="008F0F3D">
        <w:rPr>
          <w:rStyle w:val="ac"/>
          <w:color w:val="auto"/>
          <w:bdr w:val="none" w:sz="0" w:space="0" w:color="auto" w:frame="1"/>
        </w:rPr>
        <w:t xml:space="preserve">aard v. </w:t>
      </w:r>
      <w:proofErr w:type="spellStart"/>
      <w:r w:rsidRPr="008F0F3D">
        <w:rPr>
          <w:rStyle w:val="ac"/>
          <w:color w:val="auto"/>
          <w:bdr w:val="none" w:sz="0" w:space="0" w:color="auto" w:frame="1"/>
        </w:rPr>
        <w:t>Denmark</w:t>
      </w:r>
      <w:proofErr w:type="spellEnd"/>
      <w:r w:rsidRPr="008F0F3D">
        <w:rPr>
          <w:rStyle w:val="ac"/>
          <w:color w:val="auto"/>
          <w:u w:val="none"/>
          <w:bdr w:val="none" w:sz="0" w:space="0" w:color="auto" w:frame="1"/>
        </w:rPr>
        <w:fldChar w:fldCharType="end"/>
      </w:r>
      <w:r w:rsidRPr="008F0F3D">
        <w:rPr>
          <w:shd w:val="clear" w:color="auto" w:fill="FFFFFF"/>
        </w:rPr>
        <w:t>»).</w:t>
      </w:r>
    </w:p>
    <w:p w:rsidR="008F0F3D" w:rsidRPr="008F0F3D" w:rsidRDefault="008F0F3D" w:rsidP="008F0F3D">
      <w:pPr>
        <w:ind w:firstLine="709"/>
        <w:contextualSpacing/>
        <w:jc w:val="both"/>
        <w:rPr>
          <w:shd w:val="clear" w:color="auto" w:fill="FFFFFF"/>
        </w:rPr>
      </w:pPr>
      <w:r w:rsidRPr="008F0F3D">
        <w:rPr>
          <w:shd w:val="clear" w:color="auto" w:fill="FFFFFF"/>
        </w:rPr>
        <w:t>Складність справи, як зазначено у рішенні у справі «</w:t>
      </w:r>
      <w:proofErr w:type="spellStart"/>
      <w:r w:rsidRPr="008F0F3D">
        <w:fldChar w:fldCharType="begin"/>
      </w:r>
      <w:r w:rsidRPr="008F0F3D">
        <w:instrText xml:space="preserve"> HYPERLINK "http://hudoc.echr.coe.int/eng?i=001-57544" </w:instrText>
      </w:r>
      <w:r w:rsidRPr="008F0F3D">
        <w:fldChar w:fldCharType="separate"/>
      </w:r>
      <w:r w:rsidRPr="008F0F3D">
        <w:rPr>
          <w:rStyle w:val="ac"/>
          <w:color w:val="auto"/>
          <w:bdr w:val="none" w:sz="0" w:space="0" w:color="auto" w:frame="1"/>
        </w:rPr>
        <w:t>Neumeister</w:t>
      </w:r>
      <w:proofErr w:type="spellEnd"/>
      <w:r w:rsidRPr="008F0F3D">
        <w:rPr>
          <w:rStyle w:val="ac"/>
          <w:color w:val="auto"/>
          <w:bdr w:val="none" w:sz="0" w:space="0" w:color="auto" w:frame="1"/>
        </w:rPr>
        <w:t xml:space="preserve"> v. </w:t>
      </w:r>
      <w:proofErr w:type="spellStart"/>
      <w:r w:rsidRPr="008F0F3D">
        <w:rPr>
          <w:rStyle w:val="ac"/>
          <w:color w:val="auto"/>
          <w:bdr w:val="none" w:sz="0" w:space="0" w:color="auto" w:frame="1"/>
        </w:rPr>
        <w:t>Austria</w:t>
      </w:r>
      <w:proofErr w:type="spellEnd"/>
      <w:r w:rsidRPr="008F0F3D">
        <w:rPr>
          <w:rStyle w:val="ac"/>
          <w:color w:val="auto"/>
          <w:u w:val="none"/>
          <w:bdr w:val="none" w:sz="0" w:space="0" w:color="auto" w:frame="1"/>
        </w:rPr>
        <w:fldChar w:fldCharType="end"/>
      </w:r>
      <w:r w:rsidRPr="008F0F3D">
        <w:t xml:space="preserve">» (пункт 20), </w:t>
      </w:r>
      <w:r w:rsidRPr="008F0F3D">
        <w:rPr>
          <w:shd w:val="clear" w:color="auto" w:fill="FFFFFF"/>
        </w:rPr>
        <w:t>обґрунтовується, в тому числі, необхідністю допиту всіх свідків.</w:t>
      </w:r>
    </w:p>
    <w:p w:rsidR="008F0F3D" w:rsidRPr="008F0F3D" w:rsidRDefault="008F0F3D" w:rsidP="008F0F3D">
      <w:pPr>
        <w:ind w:firstLine="709"/>
        <w:contextualSpacing/>
        <w:jc w:val="both"/>
        <w:rPr>
          <w:shd w:val="clear" w:color="auto" w:fill="FFFFFF"/>
        </w:rPr>
      </w:pPr>
      <w:r w:rsidRPr="008F0F3D">
        <w:rPr>
          <w:shd w:val="clear" w:color="auto" w:fill="FFFFFF"/>
        </w:rPr>
        <w:t xml:space="preserve">Суддя </w:t>
      </w:r>
      <w:proofErr w:type="spellStart"/>
      <w:r w:rsidRPr="008F0F3D">
        <w:rPr>
          <w:shd w:val="clear" w:color="auto" w:fill="FFFFFF"/>
        </w:rPr>
        <w:t>Адамчук</w:t>
      </w:r>
      <w:proofErr w:type="spellEnd"/>
      <w:r w:rsidRPr="008F0F3D">
        <w:rPr>
          <w:shd w:val="clear" w:color="auto" w:fill="FFFFFF"/>
        </w:rPr>
        <w:t xml:space="preserve"> Г.М. у поясненнях стверджує, що однією з причин відкладення справи була необхідність допиту всіх свідків у справі. Зокрема, у судовому засіданні 28 травня 2019 року, на якому був присутній також потерпілий Мороз І.С та допитаний свідок Мельничук І.В., всі учасники кримінального провадження висловили позицію </w:t>
      </w:r>
      <w:r w:rsidRPr="008F0F3D">
        <w:t>про необхідність допиту інших свідків, які не з’явились, оскільки обвинувачений не визнав своєї вини.</w:t>
      </w:r>
    </w:p>
    <w:p w:rsidR="008F0F3D" w:rsidRPr="008F0F3D" w:rsidRDefault="008F0F3D" w:rsidP="008F0F3D">
      <w:pPr>
        <w:ind w:firstLine="709"/>
        <w:contextualSpacing/>
        <w:jc w:val="both"/>
        <w:rPr>
          <w:shd w:val="clear" w:color="auto" w:fill="FFFFFF"/>
        </w:rPr>
      </w:pPr>
      <w:r w:rsidRPr="008F0F3D">
        <w:rPr>
          <w:shd w:val="clear" w:color="auto" w:fill="FFFFFF"/>
        </w:rPr>
        <w:t>Поведінку заявників ЄСПЛ трактує як критерій дотримання розумних строків розгляду справи, що не вимагає від них активної співпраці із судовими органами. Разом із тим, особа, яка обвинувачується у вчиненні кримінального правопорушення має мати можливість використання усього спектру наданих йому прав, в тому числі право на адвоката. У прийнятому ЄСПЛ в 2018 році рішенні у справі «</w:t>
      </w:r>
      <w:proofErr w:type="spellStart"/>
      <w:r w:rsidRPr="008F0F3D">
        <w:rPr>
          <w:shd w:val="clear" w:color="auto" w:fill="FFFFFF"/>
        </w:rPr>
        <w:t>Bartaia</w:t>
      </w:r>
      <w:proofErr w:type="spellEnd"/>
      <w:r w:rsidRPr="008F0F3D">
        <w:rPr>
          <w:shd w:val="clear" w:color="auto" w:fill="FFFFFF"/>
        </w:rPr>
        <w:t xml:space="preserve"> v. </w:t>
      </w:r>
      <w:proofErr w:type="spellStart"/>
      <w:r w:rsidRPr="008F0F3D">
        <w:rPr>
          <w:shd w:val="clear" w:color="auto" w:fill="FFFFFF"/>
        </w:rPr>
        <w:t>Georgia</w:t>
      </w:r>
      <w:proofErr w:type="spellEnd"/>
      <w:r w:rsidRPr="008F0F3D">
        <w:rPr>
          <w:shd w:val="clear" w:color="auto" w:fill="FFFFFF"/>
        </w:rPr>
        <w:t>» Суд вкотре наголосив, що зайнятість адвоката в іншій справі є поважною причиною його неявки до суду і перепоною у розгляді справи стосовно обвинуваченого без його захисника.</w:t>
      </w:r>
    </w:p>
    <w:p w:rsidR="008F0F3D" w:rsidRPr="008F0F3D" w:rsidRDefault="008F0F3D" w:rsidP="008F0F3D">
      <w:pPr>
        <w:ind w:firstLine="709"/>
        <w:contextualSpacing/>
        <w:jc w:val="both"/>
        <w:rPr>
          <w:shd w:val="clear" w:color="auto" w:fill="FFFFFF"/>
        </w:rPr>
      </w:pPr>
      <w:r w:rsidRPr="008F0F3D">
        <w:rPr>
          <w:shd w:val="clear" w:color="auto" w:fill="FFFFFF"/>
        </w:rPr>
        <w:t>Однією з причин відкладення розгляду справи, призначеного на 3 грудня 2019 року, було відповідне клопотання захисника обвинуваченого із зазначенням зайнятості в іншій справі поза межами Волинської області.</w:t>
      </w:r>
    </w:p>
    <w:p w:rsidR="008F0F3D" w:rsidRPr="008F0F3D" w:rsidRDefault="008F0F3D" w:rsidP="008F0F3D">
      <w:pPr>
        <w:ind w:firstLine="709"/>
        <w:contextualSpacing/>
        <w:jc w:val="both"/>
        <w:rPr>
          <w:shd w:val="clear" w:color="auto" w:fill="FFFFFF"/>
        </w:rPr>
      </w:pPr>
      <w:r w:rsidRPr="008F0F3D">
        <w:rPr>
          <w:shd w:val="clear" w:color="auto" w:fill="FFFFFF"/>
        </w:rPr>
        <w:t>Щодо поведінки відповідних органів влади як критерію визначення розумних строків розгляду справи ЄСПЛ у рішеннях у справах «</w:t>
      </w:r>
      <w:proofErr w:type="spellStart"/>
      <w:r w:rsidRPr="008F0F3D">
        <w:fldChar w:fldCharType="begin"/>
      </w:r>
      <w:r w:rsidRPr="008F0F3D">
        <w:instrText xml:space="preserve"> HYPERLINK "http://hudoc.echr.coe.int/fre?i=001-57765" </w:instrText>
      </w:r>
      <w:r w:rsidRPr="008F0F3D">
        <w:fldChar w:fldCharType="separate"/>
      </w:r>
      <w:r w:rsidRPr="008F0F3D">
        <w:rPr>
          <w:rStyle w:val="ac"/>
          <w:color w:val="auto"/>
          <w:bdr w:val="none" w:sz="0" w:space="0" w:color="auto" w:frame="1"/>
        </w:rPr>
        <w:t>Abdoella</w:t>
      </w:r>
      <w:proofErr w:type="spellEnd"/>
      <w:r w:rsidRPr="008F0F3D">
        <w:rPr>
          <w:rStyle w:val="ac"/>
          <w:color w:val="auto"/>
          <w:bdr w:val="none" w:sz="0" w:space="0" w:color="auto" w:frame="1"/>
        </w:rPr>
        <w:t xml:space="preserve"> v. </w:t>
      </w:r>
      <w:proofErr w:type="spellStart"/>
      <w:r w:rsidRPr="008F0F3D">
        <w:rPr>
          <w:rStyle w:val="ac"/>
          <w:color w:val="auto"/>
          <w:bdr w:val="none" w:sz="0" w:space="0" w:color="auto" w:frame="1"/>
        </w:rPr>
        <w:t>the</w:t>
      </w:r>
      <w:proofErr w:type="spellEnd"/>
      <w:r w:rsidRPr="008F0F3D">
        <w:rPr>
          <w:rStyle w:val="ac"/>
          <w:color w:val="auto"/>
          <w:bdr w:val="none" w:sz="0" w:space="0" w:color="auto" w:frame="1"/>
        </w:rPr>
        <w:t xml:space="preserve"> </w:t>
      </w:r>
      <w:proofErr w:type="spellStart"/>
      <w:r w:rsidRPr="008F0F3D">
        <w:rPr>
          <w:rStyle w:val="ac"/>
          <w:color w:val="auto"/>
          <w:bdr w:val="none" w:sz="0" w:space="0" w:color="auto" w:frame="1"/>
        </w:rPr>
        <w:t>Netherlands</w:t>
      </w:r>
      <w:proofErr w:type="spellEnd"/>
      <w:r w:rsidRPr="008F0F3D">
        <w:rPr>
          <w:rStyle w:val="ac"/>
          <w:color w:val="auto"/>
          <w:u w:val="none"/>
          <w:bdr w:val="none" w:sz="0" w:space="0" w:color="auto" w:frame="1"/>
        </w:rPr>
        <w:fldChar w:fldCharType="end"/>
      </w:r>
      <w:r w:rsidRPr="008F0F3D">
        <w:t>» (пункт 24), «</w:t>
      </w:r>
      <w:proofErr w:type="spellStart"/>
      <w:r w:rsidRPr="008F0F3D">
        <w:fldChar w:fldCharType="begin"/>
      </w:r>
      <w:r w:rsidRPr="008F0F3D">
        <w:instrText xml:space="preserve"> HYPERLINK "http://hudoc.echr.coe.int/eng?i=001-57807" </w:instrText>
      </w:r>
      <w:r w:rsidRPr="008F0F3D">
        <w:fldChar w:fldCharType="separate"/>
      </w:r>
      <w:r w:rsidRPr="008F0F3D">
        <w:rPr>
          <w:rStyle w:val="ac"/>
          <w:color w:val="auto"/>
          <w:bdr w:val="none" w:sz="0" w:space="0" w:color="auto" w:frame="1"/>
        </w:rPr>
        <w:t>Dobbertin</w:t>
      </w:r>
      <w:proofErr w:type="spellEnd"/>
      <w:r w:rsidRPr="008F0F3D">
        <w:rPr>
          <w:rStyle w:val="ac"/>
          <w:color w:val="auto"/>
          <w:bdr w:val="none" w:sz="0" w:space="0" w:color="auto" w:frame="1"/>
        </w:rPr>
        <w:t xml:space="preserve"> v. </w:t>
      </w:r>
      <w:proofErr w:type="spellStart"/>
      <w:r w:rsidRPr="008F0F3D">
        <w:rPr>
          <w:rStyle w:val="ac"/>
          <w:color w:val="auto"/>
          <w:bdr w:val="none" w:sz="0" w:space="0" w:color="auto" w:frame="1"/>
        </w:rPr>
        <w:t>France</w:t>
      </w:r>
      <w:proofErr w:type="spellEnd"/>
      <w:r w:rsidRPr="008F0F3D">
        <w:rPr>
          <w:rStyle w:val="ac"/>
          <w:color w:val="auto"/>
          <w:u w:val="none"/>
          <w:bdr w:val="none" w:sz="0" w:space="0" w:color="auto" w:frame="1"/>
        </w:rPr>
        <w:fldChar w:fldCharType="end"/>
      </w:r>
      <w:r w:rsidRPr="008F0F3D">
        <w:t>» (пункт 44)</w:t>
      </w:r>
      <w:r w:rsidRPr="008F0F3D">
        <w:rPr>
          <w:shd w:val="clear" w:color="auto" w:fill="FFFFFF"/>
        </w:rPr>
        <w:t xml:space="preserve"> вказав, що частина перша статті 6 Конвенції покладає на держави обов’язок з організації їх судових систем таким чином, щоб суди змогли відповідати усім її вимогам.</w:t>
      </w:r>
    </w:p>
    <w:p w:rsidR="008F0F3D" w:rsidRPr="008F0F3D" w:rsidRDefault="008F0F3D" w:rsidP="008F0F3D">
      <w:pPr>
        <w:ind w:firstLine="709"/>
        <w:contextualSpacing/>
        <w:jc w:val="both"/>
        <w:rPr>
          <w:shd w:val="clear" w:color="auto" w:fill="FFFFFF"/>
        </w:rPr>
      </w:pPr>
      <w:r w:rsidRPr="008F0F3D">
        <w:rPr>
          <w:shd w:val="clear" w:color="auto" w:fill="FFFFFF"/>
        </w:rPr>
        <w:t xml:space="preserve">Водночас, зі змісту пояснень судді </w:t>
      </w:r>
      <w:proofErr w:type="spellStart"/>
      <w:r w:rsidRPr="008F0F3D">
        <w:rPr>
          <w:shd w:val="clear" w:color="auto" w:fill="FFFFFF"/>
        </w:rPr>
        <w:t>Адамчук</w:t>
      </w:r>
      <w:proofErr w:type="spellEnd"/>
      <w:r w:rsidRPr="008F0F3D">
        <w:rPr>
          <w:shd w:val="clear" w:color="auto" w:fill="FFFFFF"/>
        </w:rPr>
        <w:t xml:space="preserve"> Г.М. вбачається, що навантаження на неї як на суддю є надмірним, що унеможливлює здійсненню правосуддя у найкоротші строки. Вказане також підтверджується наявною в матеріалах дисциплінарного провадження інформацією про навантаження судді </w:t>
      </w:r>
      <w:proofErr w:type="spellStart"/>
      <w:r w:rsidRPr="008F0F3D">
        <w:rPr>
          <w:shd w:val="clear" w:color="auto" w:fill="FFFFFF"/>
        </w:rPr>
        <w:t>Адамчук</w:t>
      </w:r>
      <w:proofErr w:type="spellEnd"/>
      <w:r w:rsidRPr="008F0F3D">
        <w:rPr>
          <w:shd w:val="clear" w:color="auto" w:fill="FFFFFF"/>
        </w:rPr>
        <w:t xml:space="preserve"> Г.М. Згідно з наданою </w:t>
      </w:r>
      <w:proofErr w:type="spellStart"/>
      <w:r w:rsidRPr="008F0F3D">
        <w:rPr>
          <w:shd w:val="clear" w:color="auto" w:fill="FFFFFF"/>
        </w:rPr>
        <w:t>Горохівським</w:t>
      </w:r>
      <w:proofErr w:type="spellEnd"/>
      <w:r w:rsidRPr="008F0F3D">
        <w:rPr>
          <w:shd w:val="clear" w:color="auto" w:fill="FFFFFF"/>
        </w:rPr>
        <w:t xml:space="preserve"> районним судом Волинської області довідкою про навантаження у період з 21 серпня 2018 року (день прийняття до свого провадження суддею </w:t>
      </w:r>
      <w:proofErr w:type="spellStart"/>
      <w:r w:rsidRPr="008F0F3D">
        <w:rPr>
          <w:shd w:val="clear" w:color="auto" w:fill="FFFFFF"/>
        </w:rPr>
        <w:t>Адамчук</w:t>
      </w:r>
      <w:proofErr w:type="spellEnd"/>
      <w:r w:rsidRPr="008F0F3D">
        <w:rPr>
          <w:shd w:val="clear" w:color="auto" w:fill="FFFFFF"/>
        </w:rPr>
        <w:t xml:space="preserve"> Г.М. справи № 160/773/17) по 16 березня 2020 року (день формування довідки) у провадження судді Адамчук Г.М. надійшло 3985 справ і матеріалів, з яких розглянуто 2505. Зокрема, надійшло справ і матеріалів:</w:t>
      </w:r>
    </w:p>
    <w:p w:rsidR="008F0F3D" w:rsidRPr="008F0F3D" w:rsidRDefault="008F0F3D" w:rsidP="008F0F3D">
      <w:pPr>
        <w:ind w:firstLine="709"/>
        <w:contextualSpacing/>
        <w:jc w:val="both"/>
        <w:rPr>
          <w:shd w:val="clear" w:color="auto" w:fill="FFFFFF"/>
        </w:rPr>
      </w:pPr>
      <w:r w:rsidRPr="008F0F3D">
        <w:rPr>
          <w:shd w:val="clear" w:color="auto" w:fill="FFFFFF"/>
        </w:rPr>
        <w:t>у кримінальному судочинстві 471, з яких розглянуто 198;</w:t>
      </w:r>
    </w:p>
    <w:p w:rsidR="008F0F3D" w:rsidRPr="008F0F3D" w:rsidRDefault="008F0F3D" w:rsidP="008F0F3D">
      <w:pPr>
        <w:ind w:firstLine="709"/>
        <w:contextualSpacing/>
        <w:jc w:val="both"/>
        <w:rPr>
          <w:shd w:val="clear" w:color="auto" w:fill="FFFFFF"/>
        </w:rPr>
      </w:pPr>
      <w:r w:rsidRPr="008F0F3D">
        <w:rPr>
          <w:shd w:val="clear" w:color="auto" w:fill="FFFFFF"/>
        </w:rPr>
        <w:t>у цивільному судочинстві 2594, з яких розглянуто 1573;</w:t>
      </w:r>
    </w:p>
    <w:p w:rsidR="008F0F3D" w:rsidRPr="008F0F3D" w:rsidRDefault="008F0F3D" w:rsidP="008F0F3D">
      <w:pPr>
        <w:ind w:firstLine="709"/>
        <w:contextualSpacing/>
        <w:jc w:val="both"/>
        <w:rPr>
          <w:shd w:val="clear" w:color="auto" w:fill="FFFFFF"/>
        </w:rPr>
      </w:pPr>
      <w:r w:rsidRPr="008F0F3D">
        <w:rPr>
          <w:shd w:val="clear" w:color="auto" w:fill="FFFFFF"/>
        </w:rPr>
        <w:t>у справах про адміністративні правопорушення 820, з яких розглянуто 689.</w:t>
      </w:r>
    </w:p>
    <w:p w:rsidR="008F0F3D" w:rsidRPr="008F0F3D" w:rsidRDefault="008F0F3D" w:rsidP="008F0F3D">
      <w:pPr>
        <w:ind w:firstLine="709"/>
        <w:contextualSpacing/>
        <w:jc w:val="both"/>
        <w:rPr>
          <w:shd w:val="clear" w:color="auto" w:fill="FFFFFF"/>
        </w:rPr>
      </w:pPr>
      <w:r w:rsidRPr="008F0F3D">
        <w:rPr>
          <w:shd w:val="clear" w:color="auto" w:fill="FFFFFF"/>
        </w:rPr>
        <w:lastRenderedPageBreak/>
        <w:t xml:space="preserve">Крім того, з моменту прийняття суддею </w:t>
      </w:r>
      <w:proofErr w:type="spellStart"/>
      <w:r w:rsidRPr="008F0F3D">
        <w:rPr>
          <w:shd w:val="clear" w:color="auto" w:fill="FFFFFF"/>
        </w:rPr>
        <w:t>Адамчук</w:t>
      </w:r>
      <w:proofErr w:type="spellEnd"/>
      <w:r w:rsidRPr="008F0F3D">
        <w:rPr>
          <w:shd w:val="clear" w:color="auto" w:fill="FFFFFF"/>
        </w:rPr>
        <w:t xml:space="preserve"> Г.М. справи № 160/773/17 до свого провадження та станом на час проведення попередньої перевірки дисциплінарної скарги вона є єдиним суддею </w:t>
      </w:r>
      <w:proofErr w:type="spellStart"/>
      <w:r w:rsidRPr="008F0F3D">
        <w:rPr>
          <w:shd w:val="clear" w:color="auto" w:fill="FFFFFF"/>
        </w:rPr>
        <w:t>Горохівського</w:t>
      </w:r>
      <w:proofErr w:type="spellEnd"/>
      <w:r w:rsidRPr="008F0F3D">
        <w:rPr>
          <w:shd w:val="clear" w:color="auto" w:fill="FFFFFF"/>
        </w:rPr>
        <w:t xml:space="preserve"> районного суду Волинської області.</w:t>
      </w:r>
    </w:p>
    <w:p w:rsidR="008F0F3D" w:rsidRPr="008F0F3D" w:rsidRDefault="008F0F3D" w:rsidP="008F0F3D">
      <w:pPr>
        <w:ind w:firstLine="709"/>
        <w:contextualSpacing/>
        <w:jc w:val="both"/>
        <w:rPr>
          <w:shd w:val="clear" w:color="auto" w:fill="FFFFFF"/>
        </w:rPr>
      </w:pPr>
      <w:r w:rsidRPr="008F0F3D">
        <w:rPr>
          <w:shd w:val="clear" w:color="auto" w:fill="FFFFFF"/>
        </w:rPr>
        <w:t xml:space="preserve">З урахуванням наведеного порівняння показника середньомісячного навантаження розглянутих суддею </w:t>
      </w:r>
      <w:proofErr w:type="spellStart"/>
      <w:r w:rsidRPr="008F0F3D">
        <w:rPr>
          <w:shd w:val="clear" w:color="auto" w:fill="FFFFFF"/>
        </w:rPr>
        <w:t>Адамчук</w:t>
      </w:r>
      <w:proofErr w:type="spellEnd"/>
      <w:r w:rsidRPr="008F0F3D">
        <w:rPr>
          <w:shd w:val="clear" w:color="auto" w:fill="FFFFFF"/>
        </w:rPr>
        <w:t xml:space="preserve"> Г.М. справ із аналогічним показником інших суддів цього суду є неможливим, проте згідно із зазначеною довідкою у 2018 році вказаний показник становив:</w:t>
      </w:r>
    </w:p>
    <w:p w:rsidR="008F0F3D" w:rsidRPr="008F0F3D" w:rsidRDefault="008F0F3D" w:rsidP="008F0F3D">
      <w:pPr>
        <w:ind w:firstLine="709"/>
        <w:contextualSpacing/>
        <w:jc w:val="both"/>
        <w:rPr>
          <w:shd w:val="clear" w:color="auto" w:fill="FFFFFF"/>
        </w:rPr>
      </w:pPr>
      <w:r w:rsidRPr="008F0F3D">
        <w:rPr>
          <w:shd w:val="clear" w:color="auto" w:fill="FFFFFF"/>
        </w:rPr>
        <w:t xml:space="preserve">при здійсненні кримінального судочинства у судді </w:t>
      </w:r>
      <w:proofErr w:type="spellStart"/>
      <w:r w:rsidRPr="008F0F3D">
        <w:rPr>
          <w:shd w:val="clear" w:color="auto" w:fill="FFFFFF"/>
        </w:rPr>
        <w:t>Адамчук</w:t>
      </w:r>
      <w:proofErr w:type="spellEnd"/>
      <w:r w:rsidRPr="008F0F3D">
        <w:rPr>
          <w:shd w:val="clear" w:color="auto" w:fill="FFFFFF"/>
        </w:rPr>
        <w:t xml:space="preserve"> Г.М. – 12 справ, у регіоні – 22;</w:t>
      </w:r>
    </w:p>
    <w:p w:rsidR="008F0F3D" w:rsidRPr="008F0F3D" w:rsidRDefault="008F0F3D" w:rsidP="008F0F3D">
      <w:pPr>
        <w:ind w:firstLine="709"/>
        <w:contextualSpacing/>
        <w:jc w:val="both"/>
        <w:rPr>
          <w:shd w:val="clear" w:color="auto" w:fill="FFFFFF"/>
        </w:rPr>
      </w:pPr>
      <w:r w:rsidRPr="008F0F3D">
        <w:rPr>
          <w:shd w:val="clear" w:color="auto" w:fill="FFFFFF"/>
        </w:rPr>
        <w:t xml:space="preserve">при здійсненні цивільного судочинства у судді </w:t>
      </w:r>
      <w:proofErr w:type="spellStart"/>
      <w:r w:rsidRPr="008F0F3D">
        <w:rPr>
          <w:shd w:val="clear" w:color="auto" w:fill="FFFFFF"/>
        </w:rPr>
        <w:t>Адамчук</w:t>
      </w:r>
      <w:proofErr w:type="spellEnd"/>
      <w:r w:rsidRPr="008F0F3D">
        <w:rPr>
          <w:shd w:val="clear" w:color="auto" w:fill="FFFFFF"/>
        </w:rPr>
        <w:t xml:space="preserve"> Г.М. – 86, у регіоні – 17;</w:t>
      </w:r>
    </w:p>
    <w:p w:rsidR="008F0F3D" w:rsidRPr="008F0F3D" w:rsidRDefault="008F0F3D" w:rsidP="008F0F3D">
      <w:pPr>
        <w:ind w:firstLine="709"/>
        <w:contextualSpacing/>
        <w:jc w:val="both"/>
        <w:rPr>
          <w:shd w:val="clear" w:color="auto" w:fill="FFFFFF"/>
        </w:rPr>
      </w:pPr>
      <w:r w:rsidRPr="008F0F3D">
        <w:rPr>
          <w:shd w:val="clear" w:color="auto" w:fill="FFFFFF"/>
        </w:rPr>
        <w:t xml:space="preserve">при здійсненні адміністративного судочинства у судді </w:t>
      </w:r>
      <w:proofErr w:type="spellStart"/>
      <w:r w:rsidRPr="008F0F3D">
        <w:rPr>
          <w:shd w:val="clear" w:color="auto" w:fill="FFFFFF"/>
        </w:rPr>
        <w:t>Адамчук</w:t>
      </w:r>
      <w:proofErr w:type="spellEnd"/>
      <w:r w:rsidRPr="008F0F3D">
        <w:rPr>
          <w:shd w:val="clear" w:color="auto" w:fill="FFFFFF"/>
        </w:rPr>
        <w:t xml:space="preserve"> Г.М. – 2, у регіоні – 2;</w:t>
      </w:r>
    </w:p>
    <w:p w:rsidR="008F0F3D" w:rsidRPr="008F0F3D" w:rsidRDefault="008F0F3D" w:rsidP="008F0F3D">
      <w:pPr>
        <w:ind w:firstLine="709"/>
        <w:contextualSpacing/>
        <w:jc w:val="both"/>
        <w:rPr>
          <w:shd w:val="clear" w:color="auto" w:fill="FFFFFF"/>
        </w:rPr>
      </w:pPr>
      <w:r w:rsidRPr="008F0F3D">
        <w:rPr>
          <w:shd w:val="clear" w:color="auto" w:fill="FFFFFF"/>
        </w:rPr>
        <w:t>при розгляді справ про адміністративні правопорушення у судді Адамчук Г.М. – 24, у регіоні – 14.</w:t>
      </w:r>
    </w:p>
    <w:p w:rsidR="008F0F3D" w:rsidRPr="008F0F3D" w:rsidRDefault="008F0F3D" w:rsidP="008F0F3D">
      <w:pPr>
        <w:ind w:firstLine="709"/>
        <w:contextualSpacing/>
        <w:jc w:val="both"/>
        <w:rPr>
          <w:shd w:val="clear" w:color="auto" w:fill="FFFFFF"/>
        </w:rPr>
      </w:pPr>
      <w:r w:rsidRPr="008F0F3D">
        <w:rPr>
          <w:shd w:val="clear" w:color="auto" w:fill="FFFFFF"/>
        </w:rPr>
        <w:t>Аналогічний показник у 2019 році становив:</w:t>
      </w:r>
    </w:p>
    <w:p w:rsidR="008F0F3D" w:rsidRPr="008F0F3D" w:rsidRDefault="008F0F3D" w:rsidP="008F0F3D">
      <w:pPr>
        <w:ind w:firstLine="709"/>
        <w:contextualSpacing/>
        <w:jc w:val="both"/>
        <w:rPr>
          <w:shd w:val="clear" w:color="auto" w:fill="FFFFFF"/>
        </w:rPr>
      </w:pPr>
      <w:r w:rsidRPr="008F0F3D">
        <w:rPr>
          <w:shd w:val="clear" w:color="auto" w:fill="FFFFFF"/>
        </w:rPr>
        <w:t xml:space="preserve">при здійсненні кримінального судочинства у судді </w:t>
      </w:r>
      <w:proofErr w:type="spellStart"/>
      <w:r w:rsidRPr="008F0F3D">
        <w:rPr>
          <w:shd w:val="clear" w:color="auto" w:fill="FFFFFF"/>
        </w:rPr>
        <w:t>Адамчук</w:t>
      </w:r>
      <w:proofErr w:type="spellEnd"/>
      <w:r w:rsidRPr="008F0F3D">
        <w:rPr>
          <w:shd w:val="clear" w:color="auto" w:fill="FFFFFF"/>
        </w:rPr>
        <w:t xml:space="preserve"> Г.М. – 15 справ, у регіоні – 23;</w:t>
      </w:r>
    </w:p>
    <w:p w:rsidR="008F0F3D" w:rsidRPr="008F0F3D" w:rsidRDefault="008F0F3D" w:rsidP="008F0F3D">
      <w:pPr>
        <w:ind w:firstLine="709"/>
        <w:contextualSpacing/>
        <w:jc w:val="both"/>
        <w:rPr>
          <w:shd w:val="clear" w:color="auto" w:fill="FFFFFF"/>
        </w:rPr>
      </w:pPr>
      <w:r w:rsidRPr="008F0F3D">
        <w:rPr>
          <w:shd w:val="clear" w:color="auto" w:fill="FFFFFF"/>
        </w:rPr>
        <w:t xml:space="preserve">при здійсненні цивільного судочинства у судді </w:t>
      </w:r>
      <w:proofErr w:type="spellStart"/>
      <w:r w:rsidRPr="008F0F3D">
        <w:rPr>
          <w:shd w:val="clear" w:color="auto" w:fill="FFFFFF"/>
        </w:rPr>
        <w:t>Адамчук</w:t>
      </w:r>
      <w:proofErr w:type="spellEnd"/>
      <w:r w:rsidRPr="008F0F3D">
        <w:rPr>
          <w:shd w:val="clear" w:color="auto" w:fill="FFFFFF"/>
        </w:rPr>
        <w:t xml:space="preserve"> Г.М. – 83, у регіоні – 17;</w:t>
      </w:r>
    </w:p>
    <w:p w:rsidR="008F0F3D" w:rsidRPr="008F0F3D" w:rsidRDefault="008F0F3D" w:rsidP="008F0F3D">
      <w:pPr>
        <w:ind w:firstLine="709"/>
        <w:contextualSpacing/>
        <w:jc w:val="both"/>
        <w:rPr>
          <w:shd w:val="clear" w:color="auto" w:fill="FFFFFF"/>
        </w:rPr>
      </w:pPr>
      <w:r w:rsidRPr="008F0F3D">
        <w:rPr>
          <w:shd w:val="clear" w:color="auto" w:fill="FFFFFF"/>
        </w:rPr>
        <w:t xml:space="preserve">при здійсненні адміністративного судочинства у судді </w:t>
      </w:r>
      <w:proofErr w:type="spellStart"/>
      <w:r w:rsidRPr="008F0F3D">
        <w:rPr>
          <w:shd w:val="clear" w:color="auto" w:fill="FFFFFF"/>
        </w:rPr>
        <w:t>Адамчук</w:t>
      </w:r>
      <w:proofErr w:type="spellEnd"/>
      <w:r w:rsidRPr="008F0F3D">
        <w:rPr>
          <w:shd w:val="clear" w:color="auto" w:fill="FFFFFF"/>
        </w:rPr>
        <w:t xml:space="preserve"> Г.М. – 4, у регіоні – 2;</w:t>
      </w:r>
    </w:p>
    <w:p w:rsidR="008F0F3D" w:rsidRPr="008F0F3D" w:rsidRDefault="008F0F3D" w:rsidP="008F0F3D">
      <w:pPr>
        <w:ind w:firstLine="709"/>
        <w:contextualSpacing/>
        <w:jc w:val="both"/>
        <w:rPr>
          <w:shd w:val="clear" w:color="auto" w:fill="FFFFFF"/>
        </w:rPr>
      </w:pPr>
      <w:r w:rsidRPr="008F0F3D">
        <w:rPr>
          <w:shd w:val="clear" w:color="auto" w:fill="FFFFFF"/>
        </w:rPr>
        <w:t>при розгляді справ про адміністративні правопорушення у судді Адамчук Г.М. – 43, у регіоні – 15.</w:t>
      </w:r>
    </w:p>
    <w:p w:rsidR="008F0F3D" w:rsidRPr="008F0F3D" w:rsidRDefault="008F0F3D" w:rsidP="008F0F3D">
      <w:pPr>
        <w:ind w:firstLine="709"/>
        <w:contextualSpacing/>
        <w:jc w:val="both"/>
      </w:pPr>
      <w:r w:rsidRPr="008F0F3D">
        <w:t xml:space="preserve">Наведені статистичні показники свідчать про надмірне навантаження на суддю </w:t>
      </w:r>
      <w:proofErr w:type="spellStart"/>
      <w:r w:rsidRPr="008F0F3D">
        <w:t>Адамчук</w:t>
      </w:r>
      <w:proofErr w:type="spellEnd"/>
      <w:r w:rsidRPr="008F0F3D">
        <w:t xml:space="preserve"> Г.М.</w:t>
      </w:r>
    </w:p>
    <w:p w:rsidR="008F0F3D" w:rsidRPr="008F0F3D" w:rsidRDefault="008F0F3D" w:rsidP="008F0F3D">
      <w:pPr>
        <w:ind w:firstLine="709"/>
        <w:contextualSpacing/>
        <w:jc w:val="both"/>
      </w:pPr>
      <w:r w:rsidRPr="008F0F3D">
        <w:t xml:space="preserve">Крім того, згідно з наданою Вищій раді правосуддя інформацією суддя </w:t>
      </w:r>
      <w:proofErr w:type="spellStart"/>
      <w:r w:rsidRPr="008F0F3D">
        <w:t>Адамчук</w:t>
      </w:r>
      <w:proofErr w:type="spellEnd"/>
      <w:r w:rsidRPr="008F0F3D">
        <w:t xml:space="preserve"> Г.М.:</w:t>
      </w:r>
    </w:p>
    <w:p w:rsidR="008F0F3D" w:rsidRPr="008F0F3D" w:rsidRDefault="008F0F3D" w:rsidP="008F0F3D">
      <w:pPr>
        <w:ind w:firstLine="709"/>
        <w:contextualSpacing/>
        <w:jc w:val="both"/>
      </w:pPr>
      <w:r w:rsidRPr="008F0F3D">
        <w:t>у 2018 році (з 21 серпня) перебувала у відпустці 4 дні, у відрядженні – 3 дні, на лікарняному не перебувала;</w:t>
      </w:r>
    </w:p>
    <w:p w:rsidR="008F0F3D" w:rsidRPr="008F0F3D" w:rsidRDefault="008F0F3D" w:rsidP="008F0F3D">
      <w:pPr>
        <w:ind w:firstLine="709"/>
        <w:contextualSpacing/>
        <w:jc w:val="both"/>
      </w:pPr>
      <w:r w:rsidRPr="008F0F3D">
        <w:t>у 2019 році перебувала у відпустці 50 днів, у відрядженні – 9 днів, на лікарняному не перебувала;</w:t>
      </w:r>
    </w:p>
    <w:p w:rsidR="008F0F3D" w:rsidRPr="008F0F3D" w:rsidRDefault="008F0F3D" w:rsidP="008F0F3D">
      <w:pPr>
        <w:ind w:firstLine="709"/>
        <w:contextualSpacing/>
        <w:jc w:val="both"/>
      </w:pPr>
      <w:r w:rsidRPr="008F0F3D">
        <w:t>у 2020 році (станом на 16 березня) перебувала у відпустці 7 днів, у відрядженні – 2 дні, на лікарняному не перебувала.</w:t>
      </w:r>
    </w:p>
    <w:p w:rsidR="008F0F3D" w:rsidRPr="008F0F3D" w:rsidRDefault="008F0F3D" w:rsidP="008F0F3D">
      <w:pPr>
        <w:ind w:firstLine="709"/>
        <w:contextualSpacing/>
        <w:jc w:val="both"/>
      </w:pPr>
      <w:r w:rsidRPr="008F0F3D">
        <w:rPr>
          <w:shd w:val="clear" w:color="auto" w:fill="FFFFFF"/>
        </w:rPr>
        <w:t xml:space="preserve">Також варто </w:t>
      </w:r>
      <w:r w:rsidRPr="008F0F3D">
        <w:t xml:space="preserve">врахувати надмірне навантаження судді </w:t>
      </w:r>
      <w:proofErr w:type="spellStart"/>
      <w:r w:rsidRPr="008F0F3D">
        <w:t>Адамчук</w:t>
      </w:r>
      <w:proofErr w:type="spellEnd"/>
      <w:r w:rsidRPr="008F0F3D">
        <w:t xml:space="preserve"> Г.М. та період перебування її у відпустці й у відрядженні в розрізі відкладення розгляду справ не на найближчі дати. Додатково у поясненнях суддя </w:t>
      </w:r>
      <w:proofErr w:type="spellStart"/>
      <w:r w:rsidRPr="008F0F3D">
        <w:t>Адамчук</w:t>
      </w:r>
      <w:proofErr w:type="spellEnd"/>
      <w:r w:rsidRPr="008F0F3D">
        <w:t xml:space="preserve"> Г.М. зазначила, що станом на день надання пояснень нею сформовано розклад призначених справ до серпня 2020 року.</w:t>
      </w:r>
    </w:p>
    <w:p w:rsidR="008F0F3D" w:rsidRPr="008F0F3D" w:rsidRDefault="008F0F3D" w:rsidP="008F0F3D">
      <w:pPr>
        <w:ind w:firstLine="709"/>
        <w:contextualSpacing/>
        <w:jc w:val="both"/>
      </w:pPr>
      <w:r w:rsidRPr="008F0F3D">
        <w:t xml:space="preserve">Відповідно до пункту 2 частини першої статті 106 Закону України «Про судоустрій і статус суддів» </w:t>
      </w:r>
      <w:r w:rsidRPr="008F0F3D">
        <w:rPr>
          <w:shd w:val="clear" w:color="auto" w:fill="FFFFFF"/>
        </w:rPr>
        <w:t xml:space="preserve">суддю може бути притягнуто до дисциплінарної відповідальності в порядку дисциплінарного провадження за </w:t>
      </w:r>
      <w:r w:rsidRPr="008F0F3D">
        <w:t xml:space="preserve">безпідставне </w:t>
      </w:r>
      <w:r w:rsidRPr="008F0F3D">
        <w:lastRenderedPageBreak/>
        <w:t>затягування або невжиття суддею заходів щодо розгляду заяви, скарги чи справи протягом строку, встановленого законом.</w:t>
      </w:r>
    </w:p>
    <w:p w:rsidR="008F0F3D" w:rsidRPr="008F0F3D" w:rsidRDefault="008F0F3D" w:rsidP="008F0F3D">
      <w:pPr>
        <w:widowControl w:val="0"/>
        <w:ind w:firstLine="709"/>
        <w:jc w:val="both"/>
      </w:pPr>
      <w:r w:rsidRPr="008F0F3D">
        <w:t>Однією з ознак об’єктивної сторони дисциплінарного проступку, передбаченого пунктом 2 частини першої статті 106 Закону України «Про судоустрій і статус суддів», є безпідставність затягування розгляду справи.</w:t>
      </w:r>
    </w:p>
    <w:p w:rsidR="008F0F3D" w:rsidRPr="008F0F3D" w:rsidRDefault="008F0F3D" w:rsidP="008F0F3D">
      <w:pPr>
        <w:widowControl w:val="0"/>
        <w:ind w:firstLine="709"/>
        <w:jc w:val="both"/>
      </w:pPr>
      <w:r w:rsidRPr="008F0F3D">
        <w:t>З огляду на це лише порушення строків розгляду справи не може свідчити про наявність у діях судді складу дисциплінарного проступку.</w:t>
      </w:r>
    </w:p>
    <w:p w:rsidR="008F0F3D" w:rsidRPr="008F0F3D" w:rsidRDefault="008F0F3D" w:rsidP="008F0F3D">
      <w:pPr>
        <w:widowControl w:val="0"/>
        <w:ind w:firstLine="709"/>
        <w:jc w:val="both"/>
        <w:rPr>
          <w:bCs/>
        </w:rPr>
      </w:pPr>
      <w:r w:rsidRPr="008F0F3D">
        <w:rPr>
          <w:bCs/>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8F0F3D" w:rsidRPr="008F0F3D" w:rsidRDefault="008F0F3D" w:rsidP="008F0F3D">
      <w:pPr>
        <w:widowControl w:val="0"/>
        <w:ind w:firstLine="709"/>
        <w:jc w:val="both"/>
        <w:rPr>
          <w:bCs/>
        </w:rPr>
      </w:pPr>
      <w:r w:rsidRPr="008F0F3D">
        <w:rPr>
          <w:bCs/>
        </w:rPr>
        <w:t xml:space="preserve">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8F0F3D" w:rsidRPr="008F0F3D" w:rsidRDefault="008F0F3D" w:rsidP="008F0F3D">
      <w:pPr>
        <w:widowControl w:val="0"/>
        <w:ind w:firstLine="709"/>
        <w:jc w:val="both"/>
        <w:rPr>
          <w:bCs/>
        </w:rPr>
      </w:pPr>
      <w:r w:rsidRPr="008F0F3D">
        <w:rPr>
          <w:bCs/>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w:t>
      </w:r>
    </w:p>
    <w:p w:rsidR="008F0F3D" w:rsidRPr="008F0F3D" w:rsidRDefault="008F0F3D" w:rsidP="008F0F3D">
      <w:pPr>
        <w:pStyle w:val="HTML"/>
        <w:ind w:firstLine="709"/>
        <w:jc w:val="both"/>
        <w:rPr>
          <w:rFonts w:ascii="Times New Roman" w:hAnsi="Times New Roman"/>
          <w:sz w:val="28"/>
          <w:szCs w:val="28"/>
          <w:lang w:val="uk-UA"/>
        </w:rPr>
      </w:pPr>
      <w:r w:rsidRPr="008F0F3D">
        <w:rPr>
          <w:rFonts w:ascii="Times New Roman" w:hAnsi="Times New Roman"/>
          <w:sz w:val="28"/>
          <w:szCs w:val="28"/>
          <w:lang w:val="uk-UA"/>
        </w:rPr>
        <w:t>У зв’язку із цим варто зауважити, що засоби для виправлення суддівських помилок слід передбачити відповідною системою апеляційного оскарження. Виправлення будь-яких інших помилок в адмініструванні правосуддя є виключною відповідальністю держави (пункт 21 Великої хартії суддів (Основоположні принципи)).</w:t>
      </w:r>
    </w:p>
    <w:p w:rsidR="008F0F3D" w:rsidRPr="008F0F3D" w:rsidRDefault="008F0F3D" w:rsidP="008F0F3D">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shd w:val="clear" w:color="auto" w:fill="FFFFFF"/>
          <w:lang w:val="uk-UA"/>
        </w:rPr>
      </w:pPr>
      <w:r w:rsidRPr="008F0F3D">
        <w:rPr>
          <w:color w:val="auto"/>
          <w:sz w:val="28"/>
          <w:szCs w:val="28"/>
          <w:shd w:val="clear" w:color="auto" w:fill="FFFFFF"/>
          <w:lang w:val="uk-UA"/>
        </w:rPr>
        <w:t>У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8F0F3D" w:rsidRPr="008F0F3D" w:rsidRDefault="008F0F3D" w:rsidP="008F0F3D">
      <w:pPr>
        <w:ind w:firstLine="709"/>
        <w:jc w:val="both"/>
        <w:rPr>
          <w:shd w:val="clear" w:color="auto" w:fill="FFFFFF"/>
        </w:rPr>
      </w:pPr>
      <w:r w:rsidRPr="008F0F3D">
        <w:rPr>
          <w:shd w:val="clear" w:color="auto" w:fill="FFFFFF"/>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8F0F3D" w:rsidRPr="008F0F3D" w:rsidRDefault="008F0F3D" w:rsidP="00E377E2">
      <w:pPr>
        <w:spacing w:line="233" w:lineRule="auto"/>
        <w:ind w:firstLine="709"/>
        <w:jc w:val="both"/>
        <w:rPr>
          <w:szCs w:val="28"/>
        </w:rPr>
      </w:pPr>
      <w:r w:rsidRPr="008F0F3D">
        <w:rPr>
          <w:szCs w:val="28"/>
        </w:rPr>
        <w:t xml:space="preserve">Дослідивши зібрані під час проведення перевірки матеріали, беручи до уваги пояснення судді </w:t>
      </w:r>
      <w:proofErr w:type="spellStart"/>
      <w:r w:rsidRPr="008F0F3D">
        <w:rPr>
          <w:szCs w:val="28"/>
        </w:rPr>
        <w:t>Адамчук</w:t>
      </w:r>
      <w:proofErr w:type="spellEnd"/>
      <w:r w:rsidRPr="008F0F3D">
        <w:rPr>
          <w:szCs w:val="28"/>
        </w:rPr>
        <w:t xml:space="preserve"> Г.М., під час розгляду справи </w:t>
      </w:r>
      <w:r w:rsidRPr="008F0F3D">
        <w:rPr>
          <w:rFonts w:eastAsiaTheme="minorHAnsi"/>
          <w:bCs/>
          <w:szCs w:val="28"/>
          <w:lang w:eastAsia="en-US"/>
        </w:rPr>
        <w:t xml:space="preserve">№ 160/773/17 </w:t>
      </w:r>
      <w:r w:rsidRPr="008F0F3D">
        <w:rPr>
          <w:szCs w:val="28"/>
        </w:rPr>
        <w:t xml:space="preserve">порушено вимоги процесуального закону. Водночас матеріали дисциплінарної справи не дають підстав для висновку про умисність дій судді, недбалість або безпідставність затягування розгляду справи, а також про те, що дії судді </w:t>
      </w:r>
      <w:proofErr w:type="spellStart"/>
      <w:r w:rsidRPr="008F0F3D">
        <w:rPr>
          <w:szCs w:val="28"/>
        </w:rPr>
        <w:t>Адамчук</w:t>
      </w:r>
      <w:proofErr w:type="spellEnd"/>
      <w:r w:rsidRPr="008F0F3D">
        <w:rPr>
          <w:szCs w:val="28"/>
        </w:rPr>
        <w:t xml:space="preserve"> Г.М. містять ознаки неналежного ставлення до службових обов’язків.</w:t>
      </w:r>
    </w:p>
    <w:p w:rsidR="00B57684" w:rsidRPr="008F0F3D" w:rsidRDefault="00B57684" w:rsidP="008F0F3D">
      <w:pPr>
        <w:spacing w:line="233" w:lineRule="auto"/>
        <w:ind w:firstLine="709"/>
        <w:jc w:val="both"/>
        <w:rPr>
          <w:szCs w:val="28"/>
        </w:rPr>
      </w:pPr>
      <w:r w:rsidRPr="008F0F3D">
        <w:rPr>
          <w:szCs w:val="28"/>
        </w:rPr>
        <w:lastRenderedPageBreak/>
        <w:t xml:space="preserve">Таким чином, Першою Дисциплінарною палатою Вищої ради правосуддя встановлено, що суддею </w:t>
      </w:r>
      <w:proofErr w:type="spellStart"/>
      <w:r w:rsidR="00E377E2">
        <w:rPr>
          <w:szCs w:val="28"/>
        </w:rPr>
        <w:t>Адамчук</w:t>
      </w:r>
      <w:proofErr w:type="spellEnd"/>
      <w:r w:rsidR="00E377E2">
        <w:rPr>
          <w:szCs w:val="28"/>
        </w:rPr>
        <w:t xml:space="preserve"> Г.М.</w:t>
      </w:r>
      <w:r w:rsidRPr="008F0F3D">
        <w:rPr>
          <w:szCs w:val="28"/>
        </w:rPr>
        <w:t xml:space="preserve"> порушено вимоги процесуального закону щодо строків розгляду справи </w:t>
      </w:r>
      <w:r w:rsidR="00E377E2" w:rsidRPr="008F0F3D">
        <w:rPr>
          <w:rFonts w:eastAsiaTheme="minorHAnsi"/>
          <w:bCs/>
          <w:lang w:eastAsia="en-US"/>
        </w:rPr>
        <w:t>№ 160/773/17</w:t>
      </w:r>
      <w:r w:rsidRPr="008F0F3D">
        <w:rPr>
          <w:szCs w:val="28"/>
        </w:rPr>
        <w:t xml:space="preserve">. Водночас матеріали дисциплінарної справи не дають підстав для висновку про умисність дій судді, недбалість або безпідставність затягування розгляду справи, а також про те, що дії судді </w:t>
      </w:r>
      <w:proofErr w:type="spellStart"/>
      <w:r w:rsidR="00E377E2">
        <w:rPr>
          <w:szCs w:val="28"/>
        </w:rPr>
        <w:t>Адамчук</w:t>
      </w:r>
      <w:proofErr w:type="spellEnd"/>
      <w:r w:rsidR="00E377E2">
        <w:rPr>
          <w:szCs w:val="28"/>
        </w:rPr>
        <w:t xml:space="preserve"> Г.М.</w:t>
      </w:r>
      <w:r w:rsidRPr="008F0F3D">
        <w:rPr>
          <w:szCs w:val="28"/>
        </w:rPr>
        <w:t xml:space="preserve"> містять ознаки неналежного ставлення до службових обов’язків.</w:t>
      </w:r>
    </w:p>
    <w:p w:rsidR="006B2C78" w:rsidRPr="008F0F3D" w:rsidRDefault="006B2C78" w:rsidP="00E24329">
      <w:pPr>
        <w:widowControl w:val="0"/>
        <w:ind w:firstLine="709"/>
        <w:jc w:val="both"/>
      </w:pPr>
      <w:r w:rsidRPr="008F0F3D">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D25E9" w:rsidRPr="008F0F3D" w:rsidRDefault="00F320E4" w:rsidP="00137ED7">
      <w:pPr>
        <w:widowControl w:val="0"/>
        <w:spacing w:line="257" w:lineRule="auto"/>
        <w:ind w:firstLine="709"/>
        <w:jc w:val="both"/>
        <w:rPr>
          <w:bCs/>
          <w:szCs w:val="28"/>
        </w:rPr>
      </w:pPr>
      <w:r w:rsidRPr="008F0F3D">
        <w:rPr>
          <w:bCs/>
          <w:szCs w:val="28"/>
        </w:rPr>
        <w:t xml:space="preserve">Враховуючи </w:t>
      </w:r>
      <w:r w:rsidR="00BD25E9" w:rsidRPr="008F0F3D">
        <w:rPr>
          <w:bCs/>
          <w:szCs w:val="28"/>
        </w:rPr>
        <w:t>викладене, Перша Дисциплінарна палата Вищої ради правосуддя дійшла висновку про відмову у відкритті дисциплінарної справи стосовно судді</w:t>
      </w:r>
      <w:r w:rsidR="00AB4A9A" w:rsidRPr="008F0F3D">
        <w:rPr>
          <w:bCs/>
          <w:szCs w:val="28"/>
        </w:rPr>
        <w:t xml:space="preserve"> </w:t>
      </w:r>
      <w:proofErr w:type="spellStart"/>
      <w:r w:rsidR="00E377E2">
        <w:rPr>
          <w:bCs/>
          <w:szCs w:val="28"/>
        </w:rPr>
        <w:t>Горохівського</w:t>
      </w:r>
      <w:proofErr w:type="spellEnd"/>
      <w:r w:rsidR="00E377E2">
        <w:rPr>
          <w:bCs/>
          <w:szCs w:val="28"/>
        </w:rPr>
        <w:t xml:space="preserve"> районного суду Волинської області </w:t>
      </w:r>
      <w:proofErr w:type="spellStart"/>
      <w:r w:rsidR="00E377E2">
        <w:rPr>
          <w:bCs/>
          <w:szCs w:val="28"/>
        </w:rPr>
        <w:t>Адамчук</w:t>
      </w:r>
      <w:proofErr w:type="spellEnd"/>
      <w:r w:rsidR="00E377E2">
        <w:rPr>
          <w:bCs/>
          <w:szCs w:val="28"/>
        </w:rPr>
        <w:t xml:space="preserve"> Г.М.</w:t>
      </w:r>
      <w:r w:rsidR="00BD25E9" w:rsidRPr="008F0F3D">
        <w:rPr>
          <w:bCs/>
          <w:szCs w:val="28"/>
        </w:rPr>
        <w:t>, оскільки дисциплінарн</w:t>
      </w:r>
      <w:r w:rsidR="00B31382" w:rsidRPr="008F0F3D">
        <w:rPr>
          <w:bCs/>
          <w:szCs w:val="28"/>
        </w:rPr>
        <w:t>а</w:t>
      </w:r>
      <w:r w:rsidR="00BD25E9" w:rsidRPr="008F0F3D">
        <w:rPr>
          <w:bCs/>
          <w:szCs w:val="28"/>
        </w:rPr>
        <w:t xml:space="preserve"> скарг</w:t>
      </w:r>
      <w:r w:rsidR="00B31382" w:rsidRPr="008F0F3D">
        <w:rPr>
          <w:bCs/>
          <w:szCs w:val="28"/>
        </w:rPr>
        <w:t>а</w:t>
      </w:r>
      <w:r w:rsidR="00BD25E9" w:rsidRPr="008F0F3D">
        <w:rPr>
          <w:bCs/>
          <w:szCs w:val="28"/>
        </w:rPr>
        <w:t xml:space="preserve"> не міст</w:t>
      </w:r>
      <w:r w:rsidR="00B31382" w:rsidRPr="008F0F3D">
        <w:rPr>
          <w:bCs/>
          <w:szCs w:val="28"/>
        </w:rPr>
        <w:t>и</w:t>
      </w:r>
      <w:r w:rsidR="00BD25E9" w:rsidRPr="008F0F3D">
        <w:rPr>
          <w:bCs/>
          <w:szCs w:val="28"/>
        </w:rPr>
        <w:t>ть відомостей про наявність ознак дисциплінарного проступку судді.</w:t>
      </w:r>
    </w:p>
    <w:p w:rsidR="00BD25E9" w:rsidRPr="008F0F3D" w:rsidRDefault="00BD25E9" w:rsidP="00137ED7">
      <w:pPr>
        <w:widowControl w:val="0"/>
        <w:spacing w:line="257" w:lineRule="auto"/>
        <w:ind w:firstLine="709"/>
        <w:jc w:val="both"/>
        <w:rPr>
          <w:bCs/>
          <w:szCs w:val="28"/>
        </w:rPr>
      </w:pPr>
      <w:r w:rsidRPr="008F0F3D">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8F0F3D" w:rsidRDefault="00B31382" w:rsidP="00137ED7">
      <w:pPr>
        <w:widowControl w:val="0"/>
        <w:spacing w:line="257" w:lineRule="auto"/>
        <w:ind w:firstLine="709"/>
        <w:jc w:val="both"/>
        <w:rPr>
          <w:bCs/>
          <w:szCs w:val="28"/>
        </w:rPr>
      </w:pPr>
    </w:p>
    <w:p w:rsidR="00BD25E9" w:rsidRPr="008F0F3D" w:rsidRDefault="00BD25E9" w:rsidP="00137ED7">
      <w:pPr>
        <w:widowControl w:val="0"/>
        <w:spacing w:line="257" w:lineRule="auto"/>
        <w:ind w:firstLine="709"/>
        <w:jc w:val="center"/>
        <w:rPr>
          <w:rFonts w:eastAsia="Calibri"/>
          <w:bCs/>
          <w:szCs w:val="28"/>
        </w:rPr>
      </w:pPr>
      <w:r w:rsidRPr="008F0F3D">
        <w:rPr>
          <w:rFonts w:eastAsia="Calibri"/>
          <w:b/>
          <w:bCs/>
          <w:szCs w:val="28"/>
        </w:rPr>
        <w:t>ухвалила:</w:t>
      </w:r>
    </w:p>
    <w:p w:rsidR="00BD25E9" w:rsidRPr="008F0F3D" w:rsidRDefault="00BD25E9" w:rsidP="00137ED7">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F52ED3" w:rsidRPr="008F0F3D" w:rsidRDefault="00BD25E9" w:rsidP="00137ED7">
      <w:pPr>
        <w:pStyle w:val="20"/>
        <w:shd w:val="clear" w:color="auto" w:fill="auto"/>
        <w:spacing w:after="0" w:line="257" w:lineRule="auto"/>
        <w:contextualSpacing/>
        <w:jc w:val="both"/>
        <w:rPr>
          <w:rFonts w:ascii="Times New Roman" w:hAnsi="Times New Roman" w:cs="Times New Roman"/>
          <w:b w:val="0"/>
          <w:sz w:val="28"/>
          <w:szCs w:val="28"/>
          <w:lang w:eastAsia="ru-RU"/>
        </w:rPr>
      </w:pPr>
      <w:r w:rsidRPr="008F0F3D">
        <w:rPr>
          <w:rFonts w:ascii="Times New Roman" w:hAnsi="Times New Roman" w:cs="Times New Roman"/>
          <w:b w:val="0"/>
          <w:sz w:val="28"/>
          <w:szCs w:val="28"/>
        </w:rPr>
        <w:t xml:space="preserve">відмовити у відкритті дисциплінарної справи стосовно судді </w:t>
      </w:r>
      <w:proofErr w:type="spellStart"/>
      <w:r w:rsidR="00E377E2">
        <w:rPr>
          <w:rFonts w:ascii="Times New Roman" w:hAnsi="Times New Roman" w:cs="Times New Roman"/>
          <w:b w:val="0"/>
          <w:bCs w:val="0"/>
          <w:sz w:val="28"/>
          <w:szCs w:val="28"/>
        </w:rPr>
        <w:t>Горохівського</w:t>
      </w:r>
      <w:proofErr w:type="spellEnd"/>
      <w:r w:rsidR="00E377E2">
        <w:rPr>
          <w:rFonts w:ascii="Times New Roman" w:hAnsi="Times New Roman" w:cs="Times New Roman"/>
          <w:b w:val="0"/>
          <w:bCs w:val="0"/>
          <w:sz w:val="28"/>
          <w:szCs w:val="28"/>
        </w:rPr>
        <w:t xml:space="preserve"> районного суду Волинської області </w:t>
      </w:r>
      <w:proofErr w:type="spellStart"/>
      <w:r w:rsidR="00E377E2">
        <w:rPr>
          <w:rFonts w:ascii="Times New Roman" w:hAnsi="Times New Roman" w:cs="Times New Roman"/>
          <w:b w:val="0"/>
          <w:bCs w:val="0"/>
          <w:sz w:val="28"/>
          <w:szCs w:val="28"/>
        </w:rPr>
        <w:t>Адамчук</w:t>
      </w:r>
      <w:proofErr w:type="spellEnd"/>
      <w:r w:rsidR="00E377E2">
        <w:rPr>
          <w:rFonts w:ascii="Times New Roman" w:hAnsi="Times New Roman" w:cs="Times New Roman"/>
          <w:b w:val="0"/>
          <w:bCs w:val="0"/>
          <w:sz w:val="28"/>
          <w:szCs w:val="28"/>
        </w:rPr>
        <w:t xml:space="preserve"> Галини Миколаївни</w:t>
      </w:r>
      <w:r w:rsidR="00137695" w:rsidRPr="008F0F3D">
        <w:rPr>
          <w:rFonts w:ascii="Times New Roman" w:hAnsi="Times New Roman" w:cs="Times New Roman"/>
          <w:b w:val="0"/>
          <w:sz w:val="28"/>
          <w:szCs w:val="28"/>
        </w:rPr>
        <w:t>.</w:t>
      </w:r>
    </w:p>
    <w:p w:rsidR="00BD25E9" w:rsidRPr="008F0F3D" w:rsidRDefault="00BD25E9" w:rsidP="00137ED7">
      <w:pPr>
        <w:pStyle w:val="20"/>
        <w:shd w:val="clear" w:color="auto" w:fill="auto"/>
        <w:spacing w:after="0" w:line="257" w:lineRule="auto"/>
        <w:ind w:firstLine="709"/>
        <w:contextualSpacing/>
        <w:jc w:val="both"/>
        <w:rPr>
          <w:rFonts w:ascii="Times New Roman" w:hAnsi="Times New Roman" w:cs="Times New Roman"/>
          <w:b w:val="0"/>
          <w:bCs w:val="0"/>
          <w:sz w:val="28"/>
          <w:szCs w:val="28"/>
          <w:lang w:eastAsia="ru-RU"/>
        </w:rPr>
      </w:pPr>
      <w:r w:rsidRPr="008F0F3D">
        <w:rPr>
          <w:rFonts w:ascii="Times New Roman" w:hAnsi="Times New Roman" w:cs="Times New Roman"/>
          <w:b w:val="0"/>
          <w:sz w:val="28"/>
          <w:szCs w:val="28"/>
          <w:lang w:eastAsia="ru-RU"/>
        </w:rPr>
        <w:t>Ухвала про відмову у відкритті дисциплінарної</w:t>
      </w:r>
      <w:r w:rsidR="00E377E2">
        <w:rPr>
          <w:rFonts w:ascii="Times New Roman" w:hAnsi="Times New Roman" w:cs="Times New Roman"/>
          <w:b w:val="0"/>
          <w:sz w:val="28"/>
          <w:szCs w:val="28"/>
          <w:lang w:eastAsia="ru-RU"/>
        </w:rPr>
        <w:t xml:space="preserve"> справи оскарженню не підлягає.</w:t>
      </w:r>
    </w:p>
    <w:p w:rsidR="003E688F" w:rsidRPr="008F0F3D" w:rsidRDefault="003E688F" w:rsidP="005703F4">
      <w:pPr>
        <w:pStyle w:val="20"/>
        <w:shd w:val="clear" w:color="auto" w:fill="auto"/>
        <w:spacing w:after="0" w:line="264" w:lineRule="auto"/>
        <w:ind w:firstLine="709"/>
        <w:contextualSpacing/>
        <w:jc w:val="both"/>
        <w:rPr>
          <w:rFonts w:ascii="Times New Roman" w:hAnsi="Times New Roman" w:cs="Times New Roman"/>
          <w:b w:val="0"/>
          <w:sz w:val="28"/>
          <w:szCs w:val="28"/>
        </w:rPr>
      </w:pPr>
    </w:p>
    <w:p w:rsidR="00E87FEE" w:rsidRPr="008F0F3D" w:rsidRDefault="00E87FEE" w:rsidP="005703F4">
      <w:pPr>
        <w:jc w:val="both"/>
        <w:rPr>
          <w:b/>
          <w:szCs w:val="28"/>
        </w:rPr>
      </w:pPr>
      <w:r w:rsidRPr="008F0F3D">
        <w:rPr>
          <w:b/>
          <w:szCs w:val="28"/>
        </w:rPr>
        <w:t xml:space="preserve">Головуючий на засіданні </w:t>
      </w:r>
    </w:p>
    <w:p w:rsidR="00E87FEE" w:rsidRPr="008F0F3D" w:rsidRDefault="00E87FEE" w:rsidP="005703F4">
      <w:pPr>
        <w:jc w:val="both"/>
        <w:rPr>
          <w:b/>
          <w:szCs w:val="28"/>
        </w:rPr>
      </w:pPr>
      <w:r w:rsidRPr="008F0F3D">
        <w:rPr>
          <w:b/>
          <w:szCs w:val="28"/>
        </w:rPr>
        <w:t>Першої Дисциплінарної</w:t>
      </w:r>
    </w:p>
    <w:p w:rsidR="00E87FEE" w:rsidRPr="008F0F3D" w:rsidRDefault="00E87FEE" w:rsidP="005703F4">
      <w:pPr>
        <w:rPr>
          <w:b/>
          <w:szCs w:val="28"/>
        </w:rPr>
      </w:pPr>
      <w:r w:rsidRPr="008F0F3D">
        <w:rPr>
          <w:b/>
          <w:szCs w:val="28"/>
        </w:rPr>
        <w:t>палати Вищої ради правосуддя</w:t>
      </w:r>
      <w:r w:rsidRPr="008F0F3D">
        <w:rPr>
          <w:b/>
          <w:szCs w:val="28"/>
        </w:rPr>
        <w:tab/>
      </w:r>
      <w:r w:rsidR="007E17D4" w:rsidRPr="008F0F3D">
        <w:rPr>
          <w:b/>
          <w:szCs w:val="28"/>
        </w:rPr>
        <w:tab/>
      </w:r>
      <w:r w:rsidR="007E17D4" w:rsidRPr="008F0F3D">
        <w:rPr>
          <w:b/>
          <w:szCs w:val="28"/>
        </w:rPr>
        <w:tab/>
      </w:r>
      <w:r w:rsidR="007E17D4" w:rsidRPr="008F0F3D">
        <w:rPr>
          <w:b/>
          <w:szCs w:val="28"/>
        </w:rPr>
        <w:tab/>
      </w:r>
      <w:r w:rsidR="007E17D4" w:rsidRPr="008F0F3D">
        <w:rPr>
          <w:b/>
          <w:szCs w:val="28"/>
        </w:rPr>
        <w:tab/>
        <w:t xml:space="preserve">О.В. </w:t>
      </w:r>
      <w:proofErr w:type="spellStart"/>
      <w:r w:rsidR="007E17D4" w:rsidRPr="008F0F3D">
        <w:rPr>
          <w:b/>
          <w:szCs w:val="28"/>
        </w:rPr>
        <w:t>Маловацький</w:t>
      </w:r>
      <w:proofErr w:type="spellEnd"/>
    </w:p>
    <w:p w:rsidR="00E87FEE" w:rsidRPr="008F0F3D" w:rsidRDefault="00E87FEE" w:rsidP="005703F4">
      <w:pPr>
        <w:rPr>
          <w:b/>
          <w:szCs w:val="28"/>
        </w:rPr>
      </w:pPr>
    </w:p>
    <w:p w:rsidR="00E87FEE" w:rsidRPr="008F0F3D" w:rsidRDefault="00E87FEE" w:rsidP="005703F4">
      <w:pPr>
        <w:jc w:val="both"/>
        <w:rPr>
          <w:b/>
          <w:szCs w:val="28"/>
        </w:rPr>
      </w:pPr>
    </w:p>
    <w:p w:rsidR="00E87FEE" w:rsidRPr="008F0F3D" w:rsidRDefault="00E87FEE" w:rsidP="005703F4">
      <w:pPr>
        <w:jc w:val="both"/>
        <w:rPr>
          <w:b/>
          <w:szCs w:val="28"/>
        </w:rPr>
      </w:pPr>
      <w:r w:rsidRPr="008F0F3D">
        <w:rPr>
          <w:b/>
          <w:szCs w:val="28"/>
        </w:rPr>
        <w:t>Член</w:t>
      </w:r>
      <w:r w:rsidR="00086C80" w:rsidRPr="008F0F3D">
        <w:rPr>
          <w:b/>
          <w:szCs w:val="28"/>
        </w:rPr>
        <w:t>и</w:t>
      </w:r>
      <w:r w:rsidRPr="008F0F3D">
        <w:rPr>
          <w:b/>
          <w:szCs w:val="28"/>
        </w:rPr>
        <w:t xml:space="preserve"> Першої Дисциплінарної </w:t>
      </w:r>
    </w:p>
    <w:p w:rsidR="00E87FEE" w:rsidRPr="008F0F3D" w:rsidRDefault="00E87FEE" w:rsidP="00086C80">
      <w:pPr>
        <w:spacing w:after="240"/>
        <w:rPr>
          <w:b/>
          <w:szCs w:val="28"/>
        </w:rPr>
      </w:pPr>
      <w:r w:rsidRPr="008F0F3D">
        <w:rPr>
          <w:b/>
          <w:szCs w:val="28"/>
        </w:rPr>
        <w:t>палати Вищої ради правосуддя</w:t>
      </w:r>
      <w:r w:rsidR="007E17D4" w:rsidRPr="008F0F3D">
        <w:rPr>
          <w:b/>
          <w:szCs w:val="28"/>
        </w:rPr>
        <w:tab/>
      </w:r>
      <w:r w:rsidR="007E17D4" w:rsidRPr="008F0F3D">
        <w:rPr>
          <w:b/>
          <w:szCs w:val="28"/>
        </w:rPr>
        <w:tab/>
      </w:r>
      <w:r w:rsidR="007E17D4" w:rsidRPr="008F0F3D">
        <w:rPr>
          <w:b/>
          <w:szCs w:val="28"/>
        </w:rPr>
        <w:tab/>
      </w:r>
      <w:r w:rsidR="007E17D4" w:rsidRPr="008F0F3D">
        <w:rPr>
          <w:b/>
          <w:szCs w:val="28"/>
        </w:rPr>
        <w:tab/>
      </w:r>
      <w:r w:rsidR="007E17D4" w:rsidRPr="008F0F3D">
        <w:rPr>
          <w:b/>
          <w:szCs w:val="28"/>
        </w:rPr>
        <w:tab/>
      </w:r>
      <w:r w:rsidRPr="008F0F3D">
        <w:rPr>
          <w:b/>
          <w:szCs w:val="28"/>
        </w:rPr>
        <w:t xml:space="preserve">Н.С. </w:t>
      </w:r>
      <w:proofErr w:type="spellStart"/>
      <w:r w:rsidRPr="008F0F3D">
        <w:rPr>
          <w:b/>
          <w:szCs w:val="28"/>
        </w:rPr>
        <w:t>Краснощокова</w:t>
      </w:r>
      <w:proofErr w:type="spellEnd"/>
    </w:p>
    <w:p w:rsidR="007E17D4" w:rsidRPr="008F0F3D" w:rsidRDefault="007E17D4" w:rsidP="00086C80">
      <w:pPr>
        <w:spacing w:after="240"/>
        <w:rPr>
          <w:b/>
          <w:szCs w:val="28"/>
        </w:rPr>
      </w:pPr>
    </w:p>
    <w:p w:rsidR="007E17D4" w:rsidRPr="008F0F3D" w:rsidRDefault="007E17D4" w:rsidP="007E17D4">
      <w:pPr>
        <w:rPr>
          <w:b/>
          <w:szCs w:val="28"/>
        </w:rPr>
      </w:pPr>
      <w:r w:rsidRPr="008F0F3D">
        <w:rPr>
          <w:b/>
          <w:szCs w:val="28"/>
        </w:rPr>
        <w:tab/>
      </w:r>
      <w:r w:rsidRPr="008F0F3D">
        <w:rPr>
          <w:b/>
          <w:szCs w:val="28"/>
        </w:rPr>
        <w:tab/>
      </w:r>
      <w:r w:rsidRPr="008F0F3D">
        <w:rPr>
          <w:b/>
          <w:szCs w:val="28"/>
        </w:rPr>
        <w:tab/>
      </w:r>
      <w:r w:rsidRPr="008F0F3D">
        <w:rPr>
          <w:b/>
          <w:szCs w:val="28"/>
        </w:rPr>
        <w:tab/>
      </w:r>
      <w:r w:rsidRPr="008F0F3D">
        <w:rPr>
          <w:b/>
          <w:szCs w:val="28"/>
        </w:rPr>
        <w:tab/>
      </w:r>
      <w:r w:rsidRPr="008F0F3D">
        <w:rPr>
          <w:b/>
          <w:szCs w:val="28"/>
        </w:rPr>
        <w:tab/>
      </w:r>
      <w:r w:rsidRPr="008F0F3D">
        <w:rPr>
          <w:b/>
          <w:szCs w:val="28"/>
        </w:rPr>
        <w:tab/>
      </w:r>
      <w:r w:rsidRPr="008F0F3D">
        <w:rPr>
          <w:b/>
          <w:szCs w:val="28"/>
        </w:rPr>
        <w:tab/>
      </w:r>
      <w:r w:rsidRPr="008F0F3D">
        <w:rPr>
          <w:b/>
          <w:szCs w:val="28"/>
        </w:rPr>
        <w:tab/>
      </w:r>
      <w:r w:rsidRPr="008F0F3D">
        <w:rPr>
          <w:b/>
          <w:szCs w:val="28"/>
        </w:rPr>
        <w:tab/>
      </w:r>
      <w:r w:rsidR="00086C80" w:rsidRPr="008F0F3D">
        <w:rPr>
          <w:b/>
          <w:szCs w:val="28"/>
        </w:rPr>
        <w:t xml:space="preserve">Т.С. </w:t>
      </w:r>
      <w:proofErr w:type="spellStart"/>
      <w:r w:rsidR="00086C80" w:rsidRPr="008F0F3D">
        <w:rPr>
          <w:b/>
          <w:szCs w:val="28"/>
        </w:rPr>
        <w:t>Розваляєва</w:t>
      </w:r>
      <w:proofErr w:type="spellEnd"/>
    </w:p>
    <w:p w:rsidR="007E17D4" w:rsidRPr="008F0F3D" w:rsidRDefault="007E17D4" w:rsidP="007E17D4">
      <w:pPr>
        <w:rPr>
          <w:b/>
          <w:szCs w:val="28"/>
        </w:rPr>
      </w:pPr>
    </w:p>
    <w:p w:rsidR="007E17D4" w:rsidRPr="008F0F3D" w:rsidRDefault="007E17D4" w:rsidP="007E17D4">
      <w:pPr>
        <w:rPr>
          <w:b/>
          <w:szCs w:val="28"/>
        </w:rPr>
      </w:pPr>
    </w:p>
    <w:p w:rsidR="00086C80" w:rsidRPr="008F0F3D" w:rsidRDefault="00086C80" w:rsidP="007E17D4">
      <w:pPr>
        <w:ind w:left="6372" w:firstLine="708"/>
        <w:rPr>
          <w:b/>
          <w:szCs w:val="28"/>
        </w:rPr>
      </w:pPr>
      <w:r w:rsidRPr="008F0F3D">
        <w:rPr>
          <w:b/>
          <w:szCs w:val="28"/>
        </w:rPr>
        <w:t>С.Б. Шелест</w:t>
      </w:r>
    </w:p>
    <w:p w:rsidR="00E87FEE" w:rsidRPr="008F0F3D" w:rsidRDefault="00E87FEE" w:rsidP="005703F4">
      <w:pPr>
        <w:rPr>
          <w:b/>
          <w:szCs w:val="28"/>
        </w:rPr>
      </w:pPr>
      <w:bookmarkStart w:id="0" w:name="_GoBack"/>
      <w:bookmarkEnd w:id="0"/>
    </w:p>
    <w:sectPr w:rsidR="00E87FEE" w:rsidRPr="008F0F3D" w:rsidSect="00910B2D">
      <w:headerReference w:type="default" r:id="rId11"/>
      <w:pgSz w:w="11906" w:h="16838"/>
      <w:pgMar w:top="680" w:right="794" w:bottom="1134" w:left="147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FAF" w:rsidRDefault="00143FAF" w:rsidP="006316BA">
      <w:r>
        <w:separator/>
      </w:r>
    </w:p>
  </w:endnote>
  <w:endnote w:type="continuationSeparator" w:id="0">
    <w:p w:rsidR="00143FAF" w:rsidRDefault="00143FAF" w:rsidP="0063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FAF" w:rsidRDefault="00143FAF" w:rsidP="006316BA">
      <w:r>
        <w:separator/>
      </w:r>
    </w:p>
  </w:footnote>
  <w:footnote w:type="continuationSeparator" w:id="0">
    <w:p w:rsidR="00143FAF" w:rsidRDefault="00143FAF" w:rsidP="00631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1822"/>
      <w:docPartObj>
        <w:docPartGallery w:val="Page Numbers (Top of Page)"/>
        <w:docPartUnique/>
      </w:docPartObj>
    </w:sdtPr>
    <w:sdtEndPr/>
    <w:sdtContent>
      <w:p w:rsidR="00122B42" w:rsidRDefault="00AE1699">
        <w:pPr>
          <w:pStyle w:val="a3"/>
          <w:jc w:val="center"/>
        </w:pPr>
        <w:r>
          <w:fldChar w:fldCharType="begin"/>
        </w:r>
        <w:r>
          <w:instrText xml:space="preserve"> PAGE   \* MERGEFORMAT </w:instrText>
        </w:r>
        <w:r>
          <w:fldChar w:fldCharType="separate"/>
        </w:r>
        <w:r w:rsidR="00893980">
          <w:rPr>
            <w:noProof/>
          </w:rPr>
          <w:t>3</w:t>
        </w:r>
        <w:r>
          <w:rPr>
            <w:noProof/>
          </w:rPr>
          <w:fldChar w:fldCharType="end"/>
        </w:r>
      </w:p>
    </w:sdtContent>
  </w:sdt>
  <w:p w:rsidR="00A07729" w:rsidRDefault="00A077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86"/>
    <w:rsid w:val="00001338"/>
    <w:rsid w:val="00004933"/>
    <w:rsid w:val="00005EEC"/>
    <w:rsid w:val="00006846"/>
    <w:rsid w:val="000102C4"/>
    <w:rsid w:val="00012835"/>
    <w:rsid w:val="00014144"/>
    <w:rsid w:val="00015B7C"/>
    <w:rsid w:val="00016FDC"/>
    <w:rsid w:val="00017847"/>
    <w:rsid w:val="00020816"/>
    <w:rsid w:val="00025E66"/>
    <w:rsid w:val="00031741"/>
    <w:rsid w:val="00031E84"/>
    <w:rsid w:val="00032007"/>
    <w:rsid w:val="00032694"/>
    <w:rsid w:val="00052844"/>
    <w:rsid w:val="00052E20"/>
    <w:rsid w:val="000569AD"/>
    <w:rsid w:val="00057343"/>
    <w:rsid w:val="000657DE"/>
    <w:rsid w:val="00065D63"/>
    <w:rsid w:val="00066B4E"/>
    <w:rsid w:val="000709DC"/>
    <w:rsid w:val="00071AA8"/>
    <w:rsid w:val="000738BB"/>
    <w:rsid w:val="00073E9E"/>
    <w:rsid w:val="0007763D"/>
    <w:rsid w:val="00083F41"/>
    <w:rsid w:val="00086C80"/>
    <w:rsid w:val="0009507A"/>
    <w:rsid w:val="000A0315"/>
    <w:rsid w:val="000A6B2C"/>
    <w:rsid w:val="000B10C1"/>
    <w:rsid w:val="000B2D04"/>
    <w:rsid w:val="000D2064"/>
    <w:rsid w:val="000D3CF0"/>
    <w:rsid w:val="000E0F9A"/>
    <w:rsid w:val="000E37A0"/>
    <w:rsid w:val="000E72C3"/>
    <w:rsid w:val="000E7895"/>
    <w:rsid w:val="000F2E75"/>
    <w:rsid w:val="000F7C2A"/>
    <w:rsid w:val="00100EF9"/>
    <w:rsid w:val="00101BFF"/>
    <w:rsid w:val="00101C26"/>
    <w:rsid w:val="00103C6C"/>
    <w:rsid w:val="00105AB4"/>
    <w:rsid w:val="001201F7"/>
    <w:rsid w:val="00122B42"/>
    <w:rsid w:val="0012337F"/>
    <w:rsid w:val="00125F80"/>
    <w:rsid w:val="00133533"/>
    <w:rsid w:val="00133F95"/>
    <w:rsid w:val="00135B94"/>
    <w:rsid w:val="00137695"/>
    <w:rsid w:val="00137ED7"/>
    <w:rsid w:val="00140B40"/>
    <w:rsid w:val="00142459"/>
    <w:rsid w:val="00142801"/>
    <w:rsid w:val="00143FAF"/>
    <w:rsid w:val="00145FE9"/>
    <w:rsid w:val="0017148B"/>
    <w:rsid w:val="00172998"/>
    <w:rsid w:val="00172FB6"/>
    <w:rsid w:val="00174587"/>
    <w:rsid w:val="00177931"/>
    <w:rsid w:val="0018132F"/>
    <w:rsid w:val="00184C46"/>
    <w:rsid w:val="00185F99"/>
    <w:rsid w:val="00186132"/>
    <w:rsid w:val="001864F8"/>
    <w:rsid w:val="001876B0"/>
    <w:rsid w:val="00192001"/>
    <w:rsid w:val="0019367C"/>
    <w:rsid w:val="001A4EF8"/>
    <w:rsid w:val="001B00DB"/>
    <w:rsid w:val="001B165B"/>
    <w:rsid w:val="001B539D"/>
    <w:rsid w:val="001B799D"/>
    <w:rsid w:val="001B7A1D"/>
    <w:rsid w:val="001C094F"/>
    <w:rsid w:val="001C29EC"/>
    <w:rsid w:val="001C2C87"/>
    <w:rsid w:val="001C4F4B"/>
    <w:rsid w:val="001C5CB7"/>
    <w:rsid w:val="001C5D81"/>
    <w:rsid w:val="001D31DB"/>
    <w:rsid w:val="001E5333"/>
    <w:rsid w:val="001E5820"/>
    <w:rsid w:val="001E6AC2"/>
    <w:rsid w:val="001F0400"/>
    <w:rsid w:val="001F1EB9"/>
    <w:rsid w:val="001F33EF"/>
    <w:rsid w:val="001F3413"/>
    <w:rsid w:val="001F3F57"/>
    <w:rsid w:val="001F42DB"/>
    <w:rsid w:val="001F6425"/>
    <w:rsid w:val="001F7C07"/>
    <w:rsid w:val="00202E4F"/>
    <w:rsid w:val="002034AB"/>
    <w:rsid w:val="00205E04"/>
    <w:rsid w:val="00207B03"/>
    <w:rsid w:val="0021582A"/>
    <w:rsid w:val="00216B51"/>
    <w:rsid w:val="00220111"/>
    <w:rsid w:val="0023049C"/>
    <w:rsid w:val="002345D6"/>
    <w:rsid w:val="002345FA"/>
    <w:rsid w:val="0023487F"/>
    <w:rsid w:val="00234FE6"/>
    <w:rsid w:val="00242EC8"/>
    <w:rsid w:val="00243A6D"/>
    <w:rsid w:val="00245647"/>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187"/>
    <w:rsid w:val="002B47F0"/>
    <w:rsid w:val="002B5C3C"/>
    <w:rsid w:val="002B6397"/>
    <w:rsid w:val="002B7333"/>
    <w:rsid w:val="002C1D1F"/>
    <w:rsid w:val="002C652F"/>
    <w:rsid w:val="002E0495"/>
    <w:rsid w:val="002E14C6"/>
    <w:rsid w:val="002E2267"/>
    <w:rsid w:val="002E4C56"/>
    <w:rsid w:val="002F3EFA"/>
    <w:rsid w:val="002F6B90"/>
    <w:rsid w:val="00311B47"/>
    <w:rsid w:val="00314526"/>
    <w:rsid w:val="00315261"/>
    <w:rsid w:val="00325175"/>
    <w:rsid w:val="0032592B"/>
    <w:rsid w:val="00334E10"/>
    <w:rsid w:val="00335AB4"/>
    <w:rsid w:val="00341BFE"/>
    <w:rsid w:val="00342422"/>
    <w:rsid w:val="00343314"/>
    <w:rsid w:val="00354DDA"/>
    <w:rsid w:val="00357255"/>
    <w:rsid w:val="00363D88"/>
    <w:rsid w:val="003646B0"/>
    <w:rsid w:val="003709B8"/>
    <w:rsid w:val="00373F6E"/>
    <w:rsid w:val="00376F70"/>
    <w:rsid w:val="0039302E"/>
    <w:rsid w:val="003A32E6"/>
    <w:rsid w:val="003A4B86"/>
    <w:rsid w:val="003B5381"/>
    <w:rsid w:val="003C13AB"/>
    <w:rsid w:val="003C1AF3"/>
    <w:rsid w:val="003C3A02"/>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43A52"/>
    <w:rsid w:val="00450E05"/>
    <w:rsid w:val="00451D1E"/>
    <w:rsid w:val="004620D5"/>
    <w:rsid w:val="00462540"/>
    <w:rsid w:val="004856AF"/>
    <w:rsid w:val="00490366"/>
    <w:rsid w:val="004919C6"/>
    <w:rsid w:val="004A68D1"/>
    <w:rsid w:val="004B15F9"/>
    <w:rsid w:val="004B25CE"/>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008A"/>
    <w:rsid w:val="005418FD"/>
    <w:rsid w:val="00543171"/>
    <w:rsid w:val="005468B1"/>
    <w:rsid w:val="005478E6"/>
    <w:rsid w:val="00556683"/>
    <w:rsid w:val="005576F9"/>
    <w:rsid w:val="0056567E"/>
    <w:rsid w:val="005703F4"/>
    <w:rsid w:val="00573DC5"/>
    <w:rsid w:val="005779AA"/>
    <w:rsid w:val="00581F34"/>
    <w:rsid w:val="005825B6"/>
    <w:rsid w:val="00587671"/>
    <w:rsid w:val="00597352"/>
    <w:rsid w:val="005A168F"/>
    <w:rsid w:val="005A23CF"/>
    <w:rsid w:val="005A631C"/>
    <w:rsid w:val="005B03BE"/>
    <w:rsid w:val="005C0E56"/>
    <w:rsid w:val="005D6908"/>
    <w:rsid w:val="005E3812"/>
    <w:rsid w:val="005F0192"/>
    <w:rsid w:val="005F160F"/>
    <w:rsid w:val="0060091D"/>
    <w:rsid w:val="00603131"/>
    <w:rsid w:val="00611F69"/>
    <w:rsid w:val="00612B8B"/>
    <w:rsid w:val="00620DC8"/>
    <w:rsid w:val="0062554D"/>
    <w:rsid w:val="006316BA"/>
    <w:rsid w:val="00631FEC"/>
    <w:rsid w:val="006421FB"/>
    <w:rsid w:val="00643929"/>
    <w:rsid w:val="00645BCF"/>
    <w:rsid w:val="00652700"/>
    <w:rsid w:val="00652AA8"/>
    <w:rsid w:val="00653807"/>
    <w:rsid w:val="00655736"/>
    <w:rsid w:val="00656A70"/>
    <w:rsid w:val="00663160"/>
    <w:rsid w:val="00665184"/>
    <w:rsid w:val="0066671E"/>
    <w:rsid w:val="00671FEE"/>
    <w:rsid w:val="00673E14"/>
    <w:rsid w:val="00675F99"/>
    <w:rsid w:val="0068129E"/>
    <w:rsid w:val="00686A9A"/>
    <w:rsid w:val="006902AF"/>
    <w:rsid w:val="006923C4"/>
    <w:rsid w:val="006926F9"/>
    <w:rsid w:val="00692C89"/>
    <w:rsid w:val="006941D3"/>
    <w:rsid w:val="006A2E1A"/>
    <w:rsid w:val="006A5362"/>
    <w:rsid w:val="006A6667"/>
    <w:rsid w:val="006A7523"/>
    <w:rsid w:val="006B0633"/>
    <w:rsid w:val="006B2C78"/>
    <w:rsid w:val="006C1671"/>
    <w:rsid w:val="006D1406"/>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5422"/>
    <w:rsid w:val="00735C20"/>
    <w:rsid w:val="007362F9"/>
    <w:rsid w:val="00742C31"/>
    <w:rsid w:val="007438CF"/>
    <w:rsid w:val="00750259"/>
    <w:rsid w:val="00754B0A"/>
    <w:rsid w:val="00761C5B"/>
    <w:rsid w:val="0076486E"/>
    <w:rsid w:val="007669BF"/>
    <w:rsid w:val="007741A1"/>
    <w:rsid w:val="00776DD5"/>
    <w:rsid w:val="0078353F"/>
    <w:rsid w:val="0079604D"/>
    <w:rsid w:val="007B6BD2"/>
    <w:rsid w:val="007C0FE9"/>
    <w:rsid w:val="007C2C30"/>
    <w:rsid w:val="007C30EB"/>
    <w:rsid w:val="007C4C6A"/>
    <w:rsid w:val="007C5627"/>
    <w:rsid w:val="007C64D2"/>
    <w:rsid w:val="007D64EB"/>
    <w:rsid w:val="007E0250"/>
    <w:rsid w:val="007E17D4"/>
    <w:rsid w:val="007E1CA0"/>
    <w:rsid w:val="007E5FE0"/>
    <w:rsid w:val="007E6EFD"/>
    <w:rsid w:val="007E72E9"/>
    <w:rsid w:val="007E74CC"/>
    <w:rsid w:val="007F359E"/>
    <w:rsid w:val="007F5EBF"/>
    <w:rsid w:val="0080155B"/>
    <w:rsid w:val="008076D9"/>
    <w:rsid w:val="00813BF2"/>
    <w:rsid w:val="00813CDB"/>
    <w:rsid w:val="00814FCF"/>
    <w:rsid w:val="00832613"/>
    <w:rsid w:val="00841CDF"/>
    <w:rsid w:val="00844671"/>
    <w:rsid w:val="00847B95"/>
    <w:rsid w:val="00853EFD"/>
    <w:rsid w:val="00854896"/>
    <w:rsid w:val="00855092"/>
    <w:rsid w:val="0087215C"/>
    <w:rsid w:val="008773E8"/>
    <w:rsid w:val="008901A9"/>
    <w:rsid w:val="00893980"/>
    <w:rsid w:val="008A4742"/>
    <w:rsid w:val="008B6507"/>
    <w:rsid w:val="008B682A"/>
    <w:rsid w:val="008C6B78"/>
    <w:rsid w:val="008D1B05"/>
    <w:rsid w:val="008D35B4"/>
    <w:rsid w:val="008D5B02"/>
    <w:rsid w:val="008E1CFA"/>
    <w:rsid w:val="008E33AF"/>
    <w:rsid w:val="008E7586"/>
    <w:rsid w:val="008E7EF1"/>
    <w:rsid w:val="008F0F3D"/>
    <w:rsid w:val="00905245"/>
    <w:rsid w:val="00905E6C"/>
    <w:rsid w:val="00910B2D"/>
    <w:rsid w:val="0091654A"/>
    <w:rsid w:val="00920975"/>
    <w:rsid w:val="00922B6A"/>
    <w:rsid w:val="00925D6B"/>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936"/>
    <w:rsid w:val="009863A9"/>
    <w:rsid w:val="00990F16"/>
    <w:rsid w:val="0099146A"/>
    <w:rsid w:val="00991908"/>
    <w:rsid w:val="00995F56"/>
    <w:rsid w:val="00996396"/>
    <w:rsid w:val="009A1C01"/>
    <w:rsid w:val="009A380E"/>
    <w:rsid w:val="009B6AF8"/>
    <w:rsid w:val="009B6DA0"/>
    <w:rsid w:val="009C2D72"/>
    <w:rsid w:val="009C5DD5"/>
    <w:rsid w:val="009D7153"/>
    <w:rsid w:val="009F0A0E"/>
    <w:rsid w:val="00A00FAF"/>
    <w:rsid w:val="00A07729"/>
    <w:rsid w:val="00A252FD"/>
    <w:rsid w:val="00A26E4A"/>
    <w:rsid w:val="00A32467"/>
    <w:rsid w:val="00A33E1E"/>
    <w:rsid w:val="00A34637"/>
    <w:rsid w:val="00A40EA7"/>
    <w:rsid w:val="00A45478"/>
    <w:rsid w:val="00A45499"/>
    <w:rsid w:val="00A57C08"/>
    <w:rsid w:val="00A633F5"/>
    <w:rsid w:val="00A74509"/>
    <w:rsid w:val="00A80B3A"/>
    <w:rsid w:val="00A83D9D"/>
    <w:rsid w:val="00A93E8F"/>
    <w:rsid w:val="00A94CCA"/>
    <w:rsid w:val="00A96498"/>
    <w:rsid w:val="00AA0A17"/>
    <w:rsid w:val="00AA7991"/>
    <w:rsid w:val="00AB3DE0"/>
    <w:rsid w:val="00AB4A9A"/>
    <w:rsid w:val="00AD506D"/>
    <w:rsid w:val="00AE1699"/>
    <w:rsid w:val="00AE2FC6"/>
    <w:rsid w:val="00AF0C0A"/>
    <w:rsid w:val="00AF2461"/>
    <w:rsid w:val="00AF4599"/>
    <w:rsid w:val="00AF5E87"/>
    <w:rsid w:val="00AF7FB6"/>
    <w:rsid w:val="00B00E0B"/>
    <w:rsid w:val="00B01765"/>
    <w:rsid w:val="00B03C66"/>
    <w:rsid w:val="00B0785F"/>
    <w:rsid w:val="00B16AB7"/>
    <w:rsid w:val="00B17E3D"/>
    <w:rsid w:val="00B220DF"/>
    <w:rsid w:val="00B23D04"/>
    <w:rsid w:val="00B24F77"/>
    <w:rsid w:val="00B2697C"/>
    <w:rsid w:val="00B31382"/>
    <w:rsid w:val="00B4229B"/>
    <w:rsid w:val="00B42EDD"/>
    <w:rsid w:val="00B46546"/>
    <w:rsid w:val="00B46FA9"/>
    <w:rsid w:val="00B4752D"/>
    <w:rsid w:val="00B47E62"/>
    <w:rsid w:val="00B515D0"/>
    <w:rsid w:val="00B5270B"/>
    <w:rsid w:val="00B55456"/>
    <w:rsid w:val="00B57684"/>
    <w:rsid w:val="00B6015A"/>
    <w:rsid w:val="00B6154C"/>
    <w:rsid w:val="00B66550"/>
    <w:rsid w:val="00B717E1"/>
    <w:rsid w:val="00B77E44"/>
    <w:rsid w:val="00B817D2"/>
    <w:rsid w:val="00B86888"/>
    <w:rsid w:val="00B87240"/>
    <w:rsid w:val="00B9039D"/>
    <w:rsid w:val="00B9042C"/>
    <w:rsid w:val="00B925AD"/>
    <w:rsid w:val="00BA4CEE"/>
    <w:rsid w:val="00BB53BF"/>
    <w:rsid w:val="00BB6333"/>
    <w:rsid w:val="00BB74E9"/>
    <w:rsid w:val="00BC3A50"/>
    <w:rsid w:val="00BC6295"/>
    <w:rsid w:val="00BD25E9"/>
    <w:rsid w:val="00BD45E1"/>
    <w:rsid w:val="00BD48C2"/>
    <w:rsid w:val="00BE4FC5"/>
    <w:rsid w:val="00BF7193"/>
    <w:rsid w:val="00C00DF2"/>
    <w:rsid w:val="00C0380F"/>
    <w:rsid w:val="00C03B7F"/>
    <w:rsid w:val="00C0522E"/>
    <w:rsid w:val="00C064F8"/>
    <w:rsid w:val="00C22874"/>
    <w:rsid w:val="00C22A36"/>
    <w:rsid w:val="00C23A07"/>
    <w:rsid w:val="00C26E00"/>
    <w:rsid w:val="00C30684"/>
    <w:rsid w:val="00C31E36"/>
    <w:rsid w:val="00C3257C"/>
    <w:rsid w:val="00C343B0"/>
    <w:rsid w:val="00C35204"/>
    <w:rsid w:val="00C42971"/>
    <w:rsid w:val="00C43077"/>
    <w:rsid w:val="00C4498C"/>
    <w:rsid w:val="00C45BAB"/>
    <w:rsid w:val="00C46B07"/>
    <w:rsid w:val="00C5362E"/>
    <w:rsid w:val="00C6060E"/>
    <w:rsid w:val="00C60B5D"/>
    <w:rsid w:val="00C64348"/>
    <w:rsid w:val="00C64C85"/>
    <w:rsid w:val="00C73326"/>
    <w:rsid w:val="00C77BCA"/>
    <w:rsid w:val="00C907C3"/>
    <w:rsid w:val="00CA1452"/>
    <w:rsid w:val="00CA52A9"/>
    <w:rsid w:val="00CA7886"/>
    <w:rsid w:val="00CB1DD7"/>
    <w:rsid w:val="00CB6350"/>
    <w:rsid w:val="00CC058A"/>
    <w:rsid w:val="00CC113C"/>
    <w:rsid w:val="00CC724C"/>
    <w:rsid w:val="00CD266C"/>
    <w:rsid w:val="00CD5AF3"/>
    <w:rsid w:val="00CE0A96"/>
    <w:rsid w:val="00CF2165"/>
    <w:rsid w:val="00CF52E0"/>
    <w:rsid w:val="00D174B6"/>
    <w:rsid w:val="00D1750F"/>
    <w:rsid w:val="00D2071A"/>
    <w:rsid w:val="00D22D4C"/>
    <w:rsid w:val="00D2412D"/>
    <w:rsid w:val="00D30E05"/>
    <w:rsid w:val="00D355B9"/>
    <w:rsid w:val="00D41121"/>
    <w:rsid w:val="00D4296B"/>
    <w:rsid w:val="00D468A9"/>
    <w:rsid w:val="00D46EA9"/>
    <w:rsid w:val="00D5040E"/>
    <w:rsid w:val="00D529B2"/>
    <w:rsid w:val="00D52A82"/>
    <w:rsid w:val="00D54BD7"/>
    <w:rsid w:val="00D70CFF"/>
    <w:rsid w:val="00D72EB4"/>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30EE"/>
    <w:rsid w:val="00E1453C"/>
    <w:rsid w:val="00E157A8"/>
    <w:rsid w:val="00E177B3"/>
    <w:rsid w:val="00E21700"/>
    <w:rsid w:val="00E21724"/>
    <w:rsid w:val="00E224A0"/>
    <w:rsid w:val="00E22804"/>
    <w:rsid w:val="00E242C7"/>
    <w:rsid w:val="00E24329"/>
    <w:rsid w:val="00E357BA"/>
    <w:rsid w:val="00E377E2"/>
    <w:rsid w:val="00E44F3B"/>
    <w:rsid w:val="00E50D67"/>
    <w:rsid w:val="00E51EA9"/>
    <w:rsid w:val="00E55950"/>
    <w:rsid w:val="00E5702C"/>
    <w:rsid w:val="00E610CB"/>
    <w:rsid w:val="00E622F7"/>
    <w:rsid w:val="00E64C35"/>
    <w:rsid w:val="00E662DA"/>
    <w:rsid w:val="00E80220"/>
    <w:rsid w:val="00E87FEE"/>
    <w:rsid w:val="00E90E70"/>
    <w:rsid w:val="00E91EE5"/>
    <w:rsid w:val="00E92907"/>
    <w:rsid w:val="00E94B84"/>
    <w:rsid w:val="00E96960"/>
    <w:rsid w:val="00EA061A"/>
    <w:rsid w:val="00EA272A"/>
    <w:rsid w:val="00EA3417"/>
    <w:rsid w:val="00EA56F3"/>
    <w:rsid w:val="00EA6D82"/>
    <w:rsid w:val="00EA7E23"/>
    <w:rsid w:val="00EB1FDE"/>
    <w:rsid w:val="00EB2C78"/>
    <w:rsid w:val="00EB37B9"/>
    <w:rsid w:val="00EC015B"/>
    <w:rsid w:val="00EC502B"/>
    <w:rsid w:val="00EC5F37"/>
    <w:rsid w:val="00ED32CF"/>
    <w:rsid w:val="00EE0D80"/>
    <w:rsid w:val="00EE1BF2"/>
    <w:rsid w:val="00EE1E0D"/>
    <w:rsid w:val="00EF6C02"/>
    <w:rsid w:val="00F04501"/>
    <w:rsid w:val="00F22171"/>
    <w:rsid w:val="00F244DF"/>
    <w:rsid w:val="00F2576D"/>
    <w:rsid w:val="00F261A6"/>
    <w:rsid w:val="00F30C6E"/>
    <w:rsid w:val="00F31385"/>
    <w:rsid w:val="00F31C5F"/>
    <w:rsid w:val="00F320E4"/>
    <w:rsid w:val="00F34E19"/>
    <w:rsid w:val="00F4059A"/>
    <w:rsid w:val="00F511C4"/>
    <w:rsid w:val="00F52ED3"/>
    <w:rsid w:val="00F53C1C"/>
    <w:rsid w:val="00F5491F"/>
    <w:rsid w:val="00F66ADC"/>
    <w:rsid w:val="00F718A2"/>
    <w:rsid w:val="00F71A54"/>
    <w:rsid w:val="00F85FBC"/>
    <w:rsid w:val="00F946A4"/>
    <w:rsid w:val="00F94CD9"/>
    <w:rsid w:val="00F97E0D"/>
    <w:rsid w:val="00FA140A"/>
    <w:rsid w:val="00FB4DBC"/>
    <w:rsid w:val="00FB6C35"/>
    <w:rsid w:val="00FC4606"/>
    <w:rsid w:val="00FC6836"/>
    <w:rsid w:val="00FC7337"/>
    <w:rsid w:val="00FD085B"/>
    <w:rsid w:val="00FD5637"/>
    <w:rsid w:val="00FD588A"/>
    <w:rsid w:val="00FD6701"/>
    <w:rsid w:val="00FE05B1"/>
    <w:rsid w:val="00FE72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и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выноски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Обычны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и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 w:type="character" w:customStyle="1" w:styleId="rvts20">
    <w:name w:val="rvts20"/>
    <w:basedOn w:val="a0"/>
    <w:rsid w:val="00AB4A9A"/>
  </w:style>
  <w:style w:type="paragraph" w:styleId="HTML">
    <w:name w:val="HTML Preformatted"/>
    <w:basedOn w:val="a"/>
    <w:link w:val="HTML0"/>
    <w:uiPriority w:val="99"/>
    <w:unhideWhenUsed/>
    <w:rsid w:val="008F0F3D"/>
    <w:pPr>
      <w:autoSpaceDN/>
    </w:pPr>
    <w:rPr>
      <w:rFonts w:ascii="Consolas" w:hAnsi="Consolas"/>
      <w:sz w:val="20"/>
      <w:szCs w:val="20"/>
      <w:lang w:val="ru-RU"/>
    </w:rPr>
  </w:style>
  <w:style w:type="character" w:customStyle="1" w:styleId="HTML0">
    <w:name w:val="Стандартный HTML Знак"/>
    <w:basedOn w:val="a0"/>
    <w:link w:val="HTML"/>
    <w:uiPriority w:val="99"/>
    <w:rsid w:val="008F0F3D"/>
    <w:rPr>
      <w:rFonts w:ascii="Consolas" w:eastAsia="Times New Roman" w:hAnsi="Consolas" w:cs="Times New Roman"/>
      <w:sz w:val="20"/>
      <w:szCs w:val="20"/>
      <w:lang w:val="ru-RU" w:eastAsia="ru-RU"/>
    </w:rPr>
  </w:style>
  <w:style w:type="paragraph" w:customStyle="1" w:styleId="Default">
    <w:name w:val="Default"/>
    <w:rsid w:val="008F0F3D"/>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и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выноски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Обычны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и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 w:type="character" w:customStyle="1" w:styleId="rvts20">
    <w:name w:val="rvts20"/>
    <w:basedOn w:val="a0"/>
    <w:rsid w:val="00AB4A9A"/>
  </w:style>
  <w:style w:type="paragraph" w:styleId="HTML">
    <w:name w:val="HTML Preformatted"/>
    <w:basedOn w:val="a"/>
    <w:link w:val="HTML0"/>
    <w:uiPriority w:val="99"/>
    <w:unhideWhenUsed/>
    <w:rsid w:val="008F0F3D"/>
    <w:pPr>
      <w:autoSpaceDN/>
    </w:pPr>
    <w:rPr>
      <w:rFonts w:ascii="Consolas" w:hAnsi="Consolas"/>
      <w:sz w:val="20"/>
      <w:szCs w:val="20"/>
      <w:lang w:val="ru-RU"/>
    </w:rPr>
  </w:style>
  <w:style w:type="character" w:customStyle="1" w:styleId="HTML0">
    <w:name w:val="Стандартный HTML Знак"/>
    <w:basedOn w:val="a0"/>
    <w:link w:val="HTML"/>
    <w:uiPriority w:val="99"/>
    <w:rsid w:val="008F0F3D"/>
    <w:rPr>
      <w:rFonts w:ascii="Consolas" w:eastAsia="Times New Roman" w:hAnsi="Consolas" w:cs="Times New Roman"/>
      <w:sz w:val="20"/>
      <w:szCs w:val="20"/>
      <w:lang w:val="ru-RU" w:eastAsia="ru-RU"/>
    </w:rPr>
  </w:style>
  <w:style w:type="paragraph" w:customStyle="1" w:styleId="Default">
    <w:name w:val="Default"/>
    <w:rsid w:val="008F0F3D"/>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6D8E7-5FFD-45AA-B949-3C39B7BE0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2243</Words>
  <Characters>12789</Characters>
  <Application>Microsoft Office Word</Application>
  <DocSecurity>0</DocSecurity>
  <Lines>106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Пользователь Windows</cp:lastModifiedBy>
  <cp:revision>13</cp:revision>
  <cp:lastPrinted>2020-04-10T12:41:00Z</cp:lastPrinted>
  <dcterms:created xsi:type="dcterms:W3CDTF">2020-02-28T12:30:00Z</dcterms:created>
  <dcterms:modified xsi:type="dcterms:W3CDTF">2020-04-17T09:19:00Z</dcterms:modified>
</cp:coreProperties>
</file>