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430" w:rsidRPr="00721165" w:rsidRDefault="00FA0430" w:rsidP="00FA0430">
      <w:pPr>
        <w:spacing w:after="0" w:line="240" w:lineRule="auto"/>
        <w:jc w:val="both"/>
        <w:rPr>
          <w:rFonts w:ascii="Times New Roman" w:eastAsia="Times New Roman" w:hAnsi="Times New Roman" w:cs="Times New Roman"/>
          <w:color w:val="000000"/>
          <w:sz w:val="28"/>
          <w:szCs w:val="28"/>
          <w:lang w:eastAsia="uk-UA"/>
        </w:rPr>
      </w:pPr>
    </w:p>
    <w:p w:rsidR="00FA0430" w:rsidRPr="00721165" w:rsidRDefault="00FA0430" w:rsidP="00FA0430">
      <w:pPr>
        <w:spacing w:after="0" w:line="240" w:lineRule="auto"/>
        <w:jc w:val="both"/>
        <w:rPr>
          <w:rFonts w:ascii="Times New Roman" w:eastAsia="Times New Roman" w:hAnsi="Times New Roman" w:cs="Times New Roman"/>
          <w:color w:val="000000"/>
          <w:sz w:val="28"/>
          <w:szCs w:val="28"/>
          <w:lang w:eastAsia="uk-UA"/>
        </w:rPr>
      </w:pPr>
    </w:p>
    <w:p w:rsidR="00FA0430" w:rsidRPr="00721165" w:rsidRDefault="00FA0430" w:rsidP="00FA0430">
      <w:pPr>
        <w:spacing w:before="360" w:after="60" w:line="240" w:lineRule="auto"/>
        <w:jc w:val="center"/>
        <w:rPr>
          <w:rFonts w:ascii="AcademyC" w:eastAsia="Times New Roman" w:hAnsi="AcademyC" w:cs="Times New Roman"/>
          <w:b/>
          <w:color w:val="002060"/>
          <w:sz w:val="28"/>
          <w:szCs w:val="28"/>
          <w:lang w:val="ru-RU" w:eastAsia="ru-RU"/>
        </w:rPr>
      </w:pPr>
      <w:r w:rsidRPr="00721165">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4706BFAB" wp14:editId="68F3D22B">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721165">
        <w:rPr>
          <w:rFonts w:ascii="AcademyC" w:eastAsia="Times New Roman" w:hAnsi="AcademyC" w:cs="Times New Roman"/>
          <w:b/>
          <w:color w:val="002060"/>
          <w:sz w:val="28"/>
          <w:szCs w:val="28"/>
          <w:lang w:val="ru-RU" w:eastAsia="ru-RU"/>
        </w:rPr>
        <w:t>УКРАЇНА</w:t>
      </w:r>
    </w:p>
    <w:p w:rsidR="00FA0430" w:rsidRPr="00721165" w:rsidRDefault="00FA0430" w:rsidP="00FA0430">
      <w:pPr>
        <w:spacing w:after="60" w:line="240" w:lineRule="auto"/>
        <w:jc w:val="center"/>
        <w:rPr>
          <w:rFonts w:ascii="AcademyC" w:eastAsia="Times New Roman" w:hAnsi="AcademyC" w:cs="Times New Roman"/>
          <w:b/>
          <w:color w:val="002060"/>
          <w:sz w:val="28"/>
          <w:szCs w:val="28"/>
          <w:lang w:val="ru-RU" w:eastAsia="ru-RU"/>
        </w:rPr>
      </w:pPr>
      <w:r w:rsidRPr="00721165">
        <w:rPr>
          <w:rFonts w:ascii="AcademyC" w:eastAsia="Times New Roman" w:hAnsi="AcademyC" w:cs="Times New Roman"/>
          <w:b/>
          <w:color w:val="002060"/>
          <w:sz w:val="28"/>
          <w:szCs w:val="28"/>
          <w:lang w:val="ru-RU" w:eastAsia="ru-RU"/>
        </w:rPr>
        <w:t>ВИЩА  РАДА  ПРАВОСУДДЯ</w:t>
      </w:r>
    </w:p>
    <w:p w:rsidR="00FA0430" w:rsidRPr="00721165" w:rsidRDefault="00FA0430" w:rsidP="00FA0430">
      <w:pPr>
        <w:spacing w:after="240" w:line="240" w:lineRule="auto"/>
        <w:jc w:val="center"/>
        <w:rPr>
          <w:rFonts w:ascii="AcademyC" w:eastAsia="Times New Roman" w:hAnsi="AcademyC" w:cs="Times New Roman"/>
          <w:b/>
          <w:color w:val="002060"/>
          <w:sz w:val="28"/>
          <w:szCs w:val="28"/>
          <w:lang w:val="ru-RU" w:eastAsia="ru-RU"/>
        </w:rPr>
      </w:pPr>
      <w:r w:rsidRPr="00721165">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FA0430" w:rsidRPr="00721165" w:rsidTr="009637A5">
        <w:trPr>
          <w:trHeight w:val="302"/>
        </w:trPr>
        <w:tc>
          <w:tcPr>
            <w:tcW w:w="3098" w:type="dxa"/>
          </w:tcPr>
          <w:p w:rsidR="00FA0430" w:rsidRPr="00721165" w:rsidRDefault="00FA0430" w:rsidP="009637A5">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23 квітня 2020</w:t>
            </w:r>
            <w:r w:rsidRPr="00721165">
              <w:rPr>
                <w:rFonts w:ascii="Times New Roman" w:eastAsia="Times New Roman" w:hAnsi="Times New Roman" w:cs="Times New Roman"/>
                <w:noProof/>
                <w:sz w:val="28"/>
                <w:szCs w:val="28"/>
                <w:lang w:eastAsia="ru-RU"/>
              </w:rPr>
              <w:t xml:space="preserve"> року</w:t>
            </w:r>
          </w:p>
        </w:tc>
        <w:tc>
          <w:tcPr>
            <w:tcW w:w="3309" w:type="dxa"/>
          </w:tcPr>
          <w:p w:rsidR="00FA0430" w:rsidRPr="00721165" w:rsidRDefault="00FA0430" w:rsidP="009637A5">
            <w:pPr>
              <w:spacing w:after="0" w:line="240" w:lineRule="auto"/>
              <w:ind w:right="-2"/>
              <w:jc w:val="center"/>
              <w:rPr>
                <w:rFonts w:ascii="Book Antiqua" w:eastAsia="Times New Roman" w:hAnsi="Book Antiqua" w:cs="Times New Roman"/>
                <w:noProof/>
                <w:sz w:val="20"/>
                <w:szCs w:val="20"/>
                <w:lang w:val="ru-RU" w:eastAsia="ru-RU"/>
              </w:rPr>
            </w:pPr>
            <w:r w:rsidRPr="00721165">
              <w:rPr>
                <w:rFonts w:ascii="Book Antiqua" w:eastAsia="Times New Roman" w:hAnsi="Book Antiqua" w:cs="Times New Roman"/>
                <w:sz w:val="20"/>
                <w:szCs w:val="20"/>
                <w:lang w:val="ru-RU" w:eastAsia="ru-RU"/>
              </w:rPr>
              <w:t>Київ</w:t>
            </w:r>
          </w:p>
        </w:tc>
        <w:tc>
          <w:tcPr>
            <w:tcW w:w="3624" w:type="dxa"/>
          </w:tcPr>
          <w:p w:rsidR="00FA0430" w:rsidRPr="00721165" w:rsidRDefault="00FA0430" w:rsidP="009637A5">
            <w:pPr>
              <w:spacing w:after="0" w:line="240" w:lineRule="auto"/>
              <w:ind w:right="-2"/>
              <w:jc w:val="center"/>
              <w:rPr>
                <w:rFonts w:ascii="Times New Roman" w:eastAsia="Times New Roman" w:hAnsi="Times New Roman" w:cs="Times New Roman"/>
                <w:noProof/>
                <w:sz w:val="28"/>
                <w:szCs w:val="28"/>
                <w:lang w:eastAsia="ru-RU"/>
              </w:rPr>
            </w:pPr>
            <w:r w:rsidRPr="00721165">
              <w:rPr>
                <w:rFonts w:ascii="Times New Roman" w:eastAsia="Times New Roman" w:hAnsi="Times New Roman" w:cs="Times New Roman"/>
                <w:sz w:val="28"/>
                <w:szCs w:val="28"/>
                <w:lang w:val="ru-RU" w:eastAsia="ru-RU"/>
              </w:rPr>
              <w:t>№</w:t>
            </w:r>
            <w:r w:rsidRPr="00721165">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1045/0/15-20</w:t>
            </w:r>
          </w:p>
        </w:tc>
      </w:tr>
    </w:tbl>
    <w:p w:rsidR="003F1F58" w:rsidRPr="00FA0430" w:rsidRDefault="003F1F58" w:rsidP="003F1F58">
      <w:pPr>
        <w:spacing w:after="0" w:line="276" w:lineRule="auto"/>
        <w:rPr>
          <w:rFonts w:eastAsiaTheme="minorEastAsia"/>
          <w:sz w:val="12"/>
          <w:szCs w:val="12"/>
          <w:lang w:eastAsia="ru-RU"/>
        </w:rPr>
      </w:pPr>
    </w:p>
    <w:tbl>
      <w:tblPr>
        <w:tblW w:w="15525" w:type="dxa"/>
        <w:tblLook w:val="04A0" w:firstRow="1" w:lastRow="0" w:firstColumn="1" w:lastColumn="0" w:noHBand="0" w:noVBand="1"/>
      </w:tblPr>
      <w:tblGrid>
        <w:gridCol w:w="9606"/>
        <w:gridCol w:w="5919"/>
      </w:tblGrid>
      <w:tr w:rsidR="003F1F58" w:rsidRPr="00076306" w:rsidTr="00A32EB2">
        <w:tc>
          <w:tcPr>
            <w:tcW w:w="9606" w:type="dxa"/>
            <w:hideMark/>
          </w:tcPr>
          <w:p w:rsidR="003F1F58" w:rsidRPr="00076306" w:rsidRDefault="003F1F58" w:rsidP="00A32EB2">
            <w:pPr>
              <w:spacing w:after="0" w:line="276" w:lineRule="auto"/>
              <w:ind w:right="4854"/>
              <w:jc w:val="both"/>
              <w:rPr>
                <w:rFonts w:eastAsiaTheme="minorEastAsia"/>
                <w:b/>
                <w:sz w:val="24"/>
                <w:szCs w:val="24"/>
                <w:lang w:eastAsia="ru-RU"/>
              </w:rPr>
            </w:pPr>
            <w:bookmarkStart w:id="0" w:name="OLE_LINK46"/>
            <w:bookmarkStart w:id="1" w:name="OLE_LINK47"/>
            <w:r w:rsidRPr="00076306">
              <w:rPr>
                <w:rFonts w:ascii="Times New Roman" w:eastAsiaTheme="minorEastAsia" w:hAnsi="Times New Roman" w:cs="Times New Roman"/>
                <w:b/>
                <w:sz w:val="24"/>
                <w:szCs w:val="24"/>
                <w:lang w:eastAsia="ru-RU"/>
              </w:rPr>
              <w:t xml:space="preserve">Про </w:t>
            </w:r>
            <w:bookmarkEnd w:id="0"/>
            <w:bookmarkEnd w:id="1"/>
            <w:r w:rsidRPr="00076306">
              <w:rPr>
                <w:rFonts w:ascii="Times New Roman" w:eastAsiaTheme="minorEastAsia" w:hAnsi="Times New Roman" w:cs="Times New Roman"/>
                <w:b/>
                <w:sz w:val="24"/>
                <w:szCs w:val="24"/>
                <w:lang w:eastAsia="ru-RU"/>
              </w:rPr>
              <w:t>вжиття заходів щодо забезпечення незалежності суддів та авторитету правосуддя за повідомленням судді</w:t>
            </w:r>
            <w:r>
              <w:rPr>
                <w:rFonts w:ascii="Times New Roman" w:eastAsiaTheme="minorEastAsia" w:hAnsi="Times New Roman" w:cs="Times New Roman"/>
                <w:b/>
                <w:sz w:val="24"/>
                <w:szCs w:val="24"/>
                <w:lang w:eastAsia="ru-RU"/>
              </w:rPr>
              <w:t xml:space="preserve">в </w:t>
            </w:r>
            <w:r>
              <w:rPr>
                <w:rFonts w:ascii="Times New Roman" w:eastAsia="Times New Roman" w:hAnsi="Times New Roman" w:cs="Times New Roman"/>
                <w:b/>
                <w:sz w:val="24"/>
                <w:szCs w:val="24"/>
                <w:lang w:eastAsia="ru-RU"/>
              </w:rPr>
              <w:t xml:space="preserve">Рівненського апеляційного суду Бондаренко Н.В., Гордійчук С.О., Ковальчук Н.М. </w:t>
            </w:r>
            <w:r>
              <w:rPr>
                <w:rFonts w:ascii="Times New Roman" w:eastAsiaTheme="minorEastAsia" w:hAnsi="Times New Roman" w:cs="Times New Roman"/>
                <w:b/>
                <w:sz w:val="24"/>
                <w:szCs w:val="24"/>
                <w:lang w:eastAsia="ru-RU"/>
              </w:rPr>
              <w:t>про втручання в їхню</w:t>
            </w:r>
            <w:r w:rsidRPr="00076306">
              <w:rPr>
                <w:rFonts w:ascii="Times New Roman" w:eastAsiaTheme="minorEastAsia" w:hAnsi="Times New Roman" w:cs="Times New Roman"/>
                <w:b/>
                <w:sz w:val="24"/>
                <w:szCs w:val="24"/>
                <w:lang w:eastAsia="ru-RU"/>
              </w:rPr>
              <w:t xml:space="preserve"> діяльність як судді</w:t>
            </w:r>
            <w:r>
              <w:rPr>
                <w:rFonts w:ascii="Times New Roman" w:eastAsiaTheme="minorEastAsia" w:hAnsi="Times New Roman" w:cs="Times New Roman"/>
                <w:b/>
                <w:sz w:val="24"/>
                <w:szCs w:val="24"/>
                <w:lang w:eastAsia="ru-RU"/>
              </w:rPr>
              <w:t>в</w:t>
            </w:r>
            <w:r w:rsidRPr="00076306">
              <w:rPr>
                <w:rFonts w:ascii="Times New Roman" w:eastAsiaTheme="minorEastAsia" w:hAnsi="Times New Roman" w:cs="Times New Roman"/>
                <w:b/>
                <w:sz w:val="24"/>
                <w:szCs w:val="24"/>
                <w:lang w:eastAsia="ru-RU"/>
              </w:rPr>
              <w:t xml:space="preserve"> щодо здійснення правосуддя</w:t>
            </w:r>
          </w:p>
        </w:tc>
        <w:tc>
          <w:tcPr>
            <w:tcW w:w="5919" w:type="dxa"/>
            <w:hideMark/>
          </w:tcPr>
          <w:p w:rsidR="003F1F58" w:rsidRPr="00076306" w:rsidRDefault="003F1F58" w:rsidP="00A32EB2">
            <w:pPr>
              <w:spacing w:after="0" w:line="276" w:lineRule="auto"/>
              <w:ind w:firstLine="851"/>
              <w:rPr>
                <w:rFonts w:eastAsiaTheme="minorEastAsia"/>
                <w:b/>
                <w:sz w:val="24"/>
                <w:szCs w:val="24"/>
                <w:lang w:eastAsia="ru-RU"/>
              </w:rPr>
            </w:pPr>
            <w:r w:rsidRPr="00076306">
              <w:rPr>
                <w:rFonts w:eastAsiaTheme="minorEastAsia"/>
                <w:b/>
                <w:sz w:val="24"/>
                <w:szCs w:val="24"/>
                <w:lang w:eastAsia="ru-RU"/>
              </w:rPr>
              <w:t>ГОСПО</w:t>
            </w:r>
          </w:p>
        </w:tc>
      </w:tr>
      <w:tr w:rsidR="003F1F58" w:rsidRPr="00076306" w:rsidTr="00A32EB2">
        <w:tc>
          <w:tcPr>
            <w:tcW w:w="9606" w:type="dxa"/>
          </w:tcPr>
          <w:p w:rsidR="003F1F58" w:rsidRPr="00076306" w:rsidRDefault="003F1F58" w:rsidP="00A32EB2">
            <w:pPr>
              <w:spacing w:after="0" w:line="276" w:lineRule="auto"/>
              <w:ind w:right="-2"/>
              <w:rPr>
                <w:rFonts w:eastAsiaTheme="minorEastAsia"/>
                <w:b/>
                <w:noProof/>
                <w:color w:val="000000"/>
                <w:lang w:eastAsia="uk-UA"/>
              </w:rPr>
            </w:pPr>
          </w:p>
        </w:tc>
        <w:tc>
          <w:tcPr>
            <w:tcW w:w="5919" w:type="dxa"/>
          </w:tcPr>
          <w:p w:rsidR="003F1F58" w:rsidRPr="00076306" w:rsidRDefault="003F1F58" w:rsidP="00A32EB2">
            <w:pPr>
              <w:spacing w:after="0" w:line="276" w:lineRule="auto"/>
              <w:ind w:firstLine="851"/>
              <w:rPr>
                <w:rFonts w:eastAsiaTheme="minorEastAsia"/>
                <w:b/>
                <w:sz w:val="24"/>
                <w:szCs w:val="24"/>
                <w:lang w:eastAsia="ru-RU"/>
              </w:rPr>
            </w:pPr>
          </w:p>
        </w:tc>
      </w:tr>
    </w:tbl>
    <w:p w:rsidR="003F1F58" w:rsidRPr="005E773F" w:rsidRDefault="003F1F58" w:rsidP="003F1F58">
      <w:pPr>
        <w:spacing w:after="0" w:line="240" w:lineRule="auto"/>
        <w:ind w:right="140" w:firstLine="708"/>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Вища рада правосуддя, розглянувши висновок члена Вищої ради правосуддя Артеменка І.А. за результатами перевірки повідомлення суддів</w:t>
      </w:r>
      <w:r>
        <w:rPr>
          <w:rFonts w:ascii="Times New Roman" w:eastAsiaTheme="minorEastAsia" w:hAnsi="Times New Roman" w:cs="Times New Roman"/>
          <w:sz w:val="27"/>
          <w:szCs w:val="27"/>
          <w:lang w:eastAsia="ru-RU"/>
        </w:rPr>
        <w:t xml:space="preserve"> </w:t>
      </w:r>
      <w:r w:rsidRPr="005E773F">
        <w:rPr>
          <w:rFonts w:ascii="Times New Roman" w:eastAsia="Arial Unicode MS" w:hAnsi="Times New Roman" w:cs="Times New Roman"/>
          <w:bCs/>
          <w:color w:val="000000"/>
          <w:sz w:val="27"/>
          <w:szCs w:val="27"/>
          <w:lang w:eastAsia="uk-UA" w:bidi="uk-UA"/>
        </w:rPr>
        <w:t>Рівненського апеляційного суду Бондаренко Надії Володимирівни, Гордійчук Світлани Олексіївни, Ковальчук Надії Миколаївни</w:t>
      </w:r>
      <w:r>
        <w:rPr>
          <w:rFonts w:ascii="Times New Roman" w:eastAsia="Arial Unicode MS" w:hAnsi="Times New Roman" w:cs="Times New Roman"/>
          <w:bCs/>
          <w:color w:val="000000"/>
          <w:sz w:val="27"/>
          <w:szCs w:val="27"/>
          <w:lang w:eastAsia="uk-UA" w:bidi="uk-UA"/>
        </w:rPr>
        <w:t xml:space="preserve"> </w:t>
      </w:r>
      <w:r w:rsidRPr="005E773F">
        <w:rPr>
          <w:rFonts w:ascii="Times New Roman" w:eastAsiaTheme="minorEastAsia" w:hAnsi="Times New Roman" w:cs="Times New Roman"/>
          <w:sz w:val="27"/>
          <w:szCs w:val="27"/>
          <w:lang w:eastAsia="ru-RU"/>
        </w:rPr>
        <w:t>про втручання в їх</w:t>
      </w:r>
      <w:r>
        <w:rPr>
          <w:rFonts w:ascii="Times New Roman" w:eastAsiaTheme="minorEastAsia" w:hAnsi="Times New Roman" w:cs="Times New Roman"/>
          <w:sz w:val="27"/>
          <w:szCs w:val="27"/>
          <w:lang w:eastAsia="ru-RU"/>
        </w:rPr>
        <w:t>ню</w:t>
      </w:r>
      <w:r w:rsidRPr="005E773F">
        <w:rPr>
          <w:rFonts w:ascii="Times New Roman" w:eastAsiaTheme="minorEastAsia" w:hAnsi="Times New Roman" w:cs="Times New Roman"/>
          <w:sz w:val="27"/>
          <w:szCs w:val="27"/>
          <w:lang w:eastAsia="ru-RU"/>
        </w:rPr>
        <w:t xml:space="preserve"> діяльність як суддів щодо здійснення правосуддя,</w:t>
      </w:r>
    </w:p>
    <w:p w:rsidR="003F1F58" w:rsidRPr="005E773F" w:rsidRDefault="003F1F58" w:rsidP="003F1F58">
      <w:pPr>
        <w:spacing w:after="0" w:line="240" w:lineRule="auto"/>
        <w:jc w:val="center"/>
        <w:rPr>
          <w:rFonts w:ascii="Times New Roman" w:eastAsia="Calibri" w:hAnsi="Times New Roman" w:cs="Times New Roman"/>
          <w:b/>
          <w:sz w:val="27"/>
          <w:szCs w:val="27"/>
          <w:lang w:eastAsia="ru-RU"/>
        </w:rPr>
      </w:pPr>
    </w:p>
    <w:p w:rsidR="003F1F58" w:rsidRPr="005E773F" w:rsidRDefault="003F1F58" w:rsidP="003F1F58">
      <w:pPr>
        <w:spacing w:after="0" w:line="240" w:lineRule="auto"/>
        <w:jc w:val="center"/>
        <w:rPr>
          <w:rFonts w:ascii="Times New Roman" w:eastAsia="Calibri" w:hAnsi="Times New Roman" w:cs="Times New Roman"/>
          <w:b/>
          <w:sz w:val="27"/>
          <w:szCs w:val="27"/>
          <w:lang w:eastAsia="ru-RU"/>
        </w:rPr>
      </w:pPr>
      <w:r w:rsidRPr="005E773F">
        <w:rPr>
          <w:rFonts w:ascii="Times New Roman" w:eastAsia="Calibri" w:hAnsi="Times New Roman" w:cs="Times New Roman"/>
          <w:b/>
          <w:sz w:val="27"/>
          <w:szCs w:val="27"/>
          <w:lang w:eastAsia="ru-RU"/>
        </w:rPr>
        <w:t>встановила:</w:t>
      </w:r>
    </w:p>
    <w:p w:rsidR="003F1F58" w:rsidRPr="005E773F" w:rsidRDefault="003F1F58" w:rsidP="003F1F58">
      <w:pPr>
        <w:spacing w:after="0" w:line="240" w:lineRule="auto"/>
        <w:jc w:val="both"/>
        <w:rPr>
          <w:rFonts w:ascii="Times New Roman" w:eastAsia="Calibri" w:hAnsi="Times New Roman" w:cs="Times New Roman"/>
          <w:b/>
          <w:sz w:val="27"/>
          <w:szCs w:val="27"/>
          <w:lang w:eastAsia="ru-RU"/>
        </w:rPr>
      </w:pPr>
    </w:p>
    <w:p w:rsidR="003F1F58" w:rsidRPr="005E773F" w:rsidRDefault="003F1F58" w:rsidP="003F1F58">
      <w:pPr>
        <w:spacing w:after="0" w:line="240" w:lineRule="auto"/>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 xml:space="preserve">на електронну пошту Вищої ради правосуддя 30 січня 2020 року (вхідний                  № 601/0/6-20) надійшло повідомлення суддів </w:t>
      </w:r>
      <w:r w:rsidRPr="005E773F">
        <w:rPr>
          <w:rFonts w:ascii="Times New Roman" w:hAnsi="Times New Roman" w:cs="Times New Roman"/>
          <w:bCs/>
          <w:sz w:val="27"/>
          <w:szCs w:val="27"/>
        </w:rPr>
        <w:t xml:space="preserve">Рівненського апеляційного суду Бондаренко Н.В., Гордійчук С.О., Ковальчук Н.М. </w:t>
      </w:r>
      <w:r w:rsidRPr="005E773F">
        <w:rPr>
          <w:rFonts w:ascii="Times New Roman" w:eastAsiaTheme="minorEastAsia" w:hAnsi="Times New Roman" w:cs="Times New Roman"/>
          <w:sz w:val="27"/>
          <w:szCs w:val="27"/>
          <w:lang w:eastAsia="ru-RU"/>
        </w:rPr>
        <w:t>про втручання в їх</w:t>
      </w:r>
      <w:r>
        <w:rPr>
          <w:rFonts w:ascii="Times New Roman" w:eastAsiaTheme="minorEastAsia" w:hAnsi="Times New Roman" w:cs="Times New Roman"/>
          <w:sz w:val="27"/>
          <w:szCs w:val="27"/>
          <w:lang w:eastAsia="ru-RU"/>
        </w:rPr>
        <w:t>ню</w:t>
      </w:r>
      <w:r w:rsidRPr="005E773F">
        <w:rPr>
          <w:rFonts w:ascii="Times New Roman" w:eastAsiaTheme="minorEastAsia" w:hAnsi="Times New Roman" w:cs="Times New Roman"/>
          <w:sz w:val="27"/>
          <w:szCs w:val="27"/>
          <w:lang w:eastAsia="ru-RU"/>
        </w:rPr>
        <w:t xml:space="preserve"> діяльність як суддів щодо здійснення правосуддя. </w:t>
      </w:r>
      <w:r>
        <w:rPr>
          <w:rFonts w:ascii="Times New Roman" w:eastAsiaTheme="minorEastAsia" w:hAnsi="Times New Roman" w:cs="Times New Roman"/>
          <w:sz w:val="27"/>
          <w:szCs w:val="27"/>
          <w:lang w:eastAsia="ru-RU"/>
        </w:rPr>
        <w:t xml:space="preserve"> Оригінал повідомлення надійшов </w:t>
      </w:r>
      <w:r w:rsidRPr="005E773F">
        <w:rPr>
          <w:rFonts w:ascii="Times New Roman" w:eastAsiaTheme="minorEastAsia" w:hAnsi="Times New Roman" w:cs="Times New Roman"/>
          <w:sz w:val="27"/>
          <w:szCs w:val="27"/>
          <w:lang w:eastAsia="ru-RU"/>
        </w:rPr>
        <w:t>7 лютого 2020 року.</w:t>
      </w:r>
    </w:p>
    <w:p w:rsidR="003F1F58" w:rsidRPr="005E773F" w:rsidRDefault="003F1F58" w:rsidP="003F1F58">
      <w:pPr>
        <w:spacing w:after="0" w:line="240" w:lineRule="auto"/>
        <w:ind w:firstLine="567"/>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Відповідно до протоколу автоматизованого розподілу матеріалу від                       30 січня 2020 року вказане повідомлення передано члену Вищої ради правосуддя Артеменку І.А. для проведення перевірки.</w:t>
      </w:r>
    </w:p>
    <w:p w:rsidR="003F1F58" w:rsidRPr="005E773F" w:rsidRDefault="003F1F58" w:rsidP="003F1F58">
      <w:pPr>
        <w:spacing w:after="0" w:line="240" w:lineRule="auto"/>
        <w:ind w:firstLine="567"/>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 xml:space="preserve">Дослідивши матеріали перевірки та заслухавши доповідача – члена Вищої ради правосуддя Артеменка І.А., Вища рада правосуддя дійшла такого висновку. </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 xml:space="preserve">У повідомленні зазначено, що у провадженні суддів Рівненського апеляційного суду </w:t>
      </w:r>
      <w:r w:rsidRPr="005E773F">
        <w:rPr>
          <w:rFonts w:ascii="Times New Roman" w:hAnsi="Times New Roman" w:cs="Times New Roman"/>
          <w:bCs/>
          <w:sz w:val="27"/>
          <w:szCs w:val="27"/>
        </w:rPr>
        <w:t>Бондаренко Н.В., Гордійчук С.О., Ковальчук Н.М. перебуває а</w:t>
      </w:r>
      <w:r w:rsidRPr="005E773F">
        <w:rPr>
          <w:rFonts w:ascii="Times New Roman" w:hAnsi="Times New Roman" w:cs="Times New Roman"/>
          <w:color w:val="000000"/>
          <w:sz w:val="27"/>
          <w:szCs w:val="27"/>
        </w:rPr>
        <w:t>пеляційна скарга</w:t>
      </w:r>
      <w:r w:rsidR="00FA0430">
        <w:rPr>
          <w:rFonts w:ascii="Times New Roman" w:hAnsi="Times New Roman" w:cs="Times New Roman"/>
          <w:color w:val="000000"/>
          <w:sz w:val="27"/>
          <w:szCs w:val="27"/>
        </w:rPr>
        <w:t xml:space="preserve"> ОСОБА_1</w:t>
      </w:r>
      <w:r w:rsidRPr="005E773F">
        <w:rPr>
          <w:rFonts w:ascii="Times New Roman" w:hAnsi="Times New Roman" w:cs="Times New Roman"/>
          <w:color w:val="000000"/>
          <w:sz w:val="27"/>
          <w:szCs w:val="27"/>
        </w:rPr>
        <w:t xml:space="preserve">, подана його представником – адвокатом </w:t>
      </w:r>
      <w:r>
        <w:rPr>
          <w:rFonts w:ascii="Times New Roman" w:hAnsi="Times New Roman" w:cs="Times New Roman"/>
          <w:color w:val="000000"/>
          <w:sz w:val="27"/>
          <w:szCs w:val="27"/>
        </w:rPr>
        <w:t xml:space="preserve">     </w:t>
      </w:r>
      <w:r w:rsidR="00FA0430">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 </w:t>
      </w:r>
      <w:r w:rsidR="00FA0430">
        <w:rPr>
          <w:rFonts w:ascii="Times New Roman" w:hAnsi="Times New Roman" w:cs="Times New Roman"/>
          <w:color w:val="000000"/>
          <w:sz w:val="27"/>
          <w:szCs w:val="27"/>
        </w:rPr>
        <w:t>ОСОБА_2</w:t>
      </w:r>
      <w:r w:rsidRPr="005E773F">
        <w:rPr>
          <w:rFonts w:ascii="Times New Roman" w:hAnsi="Times New Roman" w:cs="Times New Roman"/>
          <w:color w:val="000000"/>
          <w:sz w:val="27"/>
          <w:szCs w:val="27"/>
        </w:rPr>
        <w:t>, на рішення Рівненського міського суду Рівненської області від 20 вересня 2019 року у цивільній спра</w:t>
      </w:r>
      <w:r>
        <w:rPr>
          <w:rFonts w:ascii="Times New Roman" w:hAnsi="Times New Roman" w:cs="Times New Roman"/>
          <w:color w:val="000000"/>
          <w:sz w:val="27"/>
          <w:szCs w:val="27"/>
        </w:rPr>
        <w:t xml:space="preserve">ві за позовом </w:t>
      </w:r>
      <w:r w:rsidR="00FA0430">
        <w:rPr>
          <w:rFonts w:ascii="Times New Roman" w:hAnsi="Times New Roman" w:cs="Times New Roman"/>
          <w:color w:val="000000"/>
          <w:sz w:val="27"/>
          <w:szCs w:val="27"/>
        </w:rPr>
        <w:t xml:space="preserve">ОСОБА_3 </w:t>
      </w:r>
      <w:r>
        <w:rPr>
          <w:rFonts w:ascii="Times New Roman" w:hAnsi="Times New Roman" w:cs="Times New Roman"/>
          <w:color w:val="000000"/>
          <w:sz w:val="27"/>
          <w:szCs w:val="27"/>
        </w:rPr>
        <w:t>до</w:t>
      </w:r>
      <w:r w:rsidR="00FA0430">
        <w:rPr>
          <w:rFonts w:ascii="Times New Roman" w:hAnsi="Times New Roman" w:cs="Times New Roman"/>
          <w:color w:val="000000"/>
          <w:sz w:val="27"/>
          <w:szCs w:val="27"/>
        </w:rPr>
        <w:t xml:space="preserve"> ОСОБА_4</w:t>
      </w:r>
      <w:r w:rsidRPr="005E773F">
        <w:rPr>
          <w:rFonts w:ascii="Times New Roman" w:hAnsi="Times New Roman" w:cs="Times New Roman"/>
          <w:color w:val="000000"/>
          <w:sz w:val="27"/>
          <w:szCs w:val="27"/>
        </w:rPr>
        <w:t xml:space="preserve">, </w:t>
      </w:r>
      <w:r w:rsidR="00FA0430">
        <w:rPr>
          <w:rFonts w:ascii="Times New Roman" w:hAnsi="Times New Roman" w:cs="Times New Roman"/>
          <w:color w:val="000000"/>
          <w:sz w:val="27"/>
          <w:szCs w:val="27"/>
        </w:rPr>
        <w:t xml:space="preserve">            ОСОБА_1 </w:t>
      </w:r>
      <w:r w:rsidRPr="005E773F">
        <w:rPr>
          <w:rFonts w:ascii="Times New Roman" w:hAnsi="Times New Roman" w:cs="Times New Roman"/>
          <w:color w:val="000000"/>
          <w:sz w:val="27"/>
          <w:szCs w:val="27"/>
        </w:rPr>
        <w:t>про відшкодування матеріальної і моральної шкоди (</w:t>
      </w:r>
      <w:r w:rsidRPr="005E773F">
        <w:rPr>
          <w:rFonts w:ascii="Times New Roman" w:hAnsi="Times New Roman" w:cs="Times New Roman"/>
          <w:bCs/>
          <w:sz w:val="27"/>
          <w:szCs w:val="27"/>
        </w:rPr>
        <w:t xml:space="preserve">справа </w:t>
      </w:r>
      <w:r>
        <w:rPr>
          <w:rFonts w:ascii="Times New Roman" w:hAnsi="Times New Roman" w:cs="Times New Roman"/>
          <w:bCs/>
          <w:sz w:val="27"/>
          <w:szCs w:val="27"/>
        </w:rPr>
        <w:t xml:space="preserve">                        </w:t>
      </w:r>
      <w:r w:rsidRPr="005E773F">
        <w:rPr>
          <w:rFonts w:ascii="Times New Roman" w:hAnsi="Times New Roman" w:cs="Times New Roman"/>
          <w:bCs/>
          <w:sz w:val="27"/>
          <w:szCs w:val="27"/>
        </w:rPr>
        <w:t>№ 569/18788/18).</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 xml:space="preserve">У судовому засіданні, призначеному на 28 січня 2020 року,    </w:t>
      </w:r>
      <w:r>
        <w:rPr>
          <w:rFonts w:ascii="Times New Roman" w:eastAsia="Times New Roman" w:hAnsi="Times New Roman" w:cs="Times New Roman"/>
          <w:sz w:val="27"/>
          <w:szCs w:val="27"/>
          <w:lang w:eastAsia="ru-RU"/>
        </w:rPr>
        <w:t xml:space="preserve">                 </w:t>
      </w:r>
      <w:r w:rsidR="00FA0430">
        <w:rPr>
          <w:rFonts w:ascii="Times New Roman" w:hAnsi="Times New Roman" w:cs="Times New Roman"/>
          <w:color w:val="000000"/>
          <w:sz w:val="27"/>
          <w:szCs w:val="27"/>
        </w:rPr>
        <w:t xml:space="preserve">ОСОБА_3 </w:t>
      </w:r>
      <w:r w:rsidRPr="005E773F">
        <w:rPr>
          <w:rFonts w:ascii="Times New Roman" w:eastAsia="Times New Roman" w:hAnsi="Times New Roman" w:cs="Times New Roman"/>
          <w:sz w:val="27"/>
          <w:szCs w:val="27"/>
          <w:lang w:eastAsia="ru-RU"/>
        </w:rPr>
        <w:t xml:space="preserve">заявив відвід судді – доповідачу Бондаренко Н.В. з підстав її упередженості та відвід всім учасникам колегії суддів через те, що склад суду </w:t>
      </w:r>
      <w:r w:rsidRPr="005E773F">
        <w:rPr>
          <w:rFonts w:ascii="Times New Roman" w:eastAsia="Times New Roman" w:hAnsi="Times New Roman" w:cs="Times New Roman"/>
          <w:sz w:val="27"/>
          <w:szCs w:val="27"/>
          <w:lang w:eastAsia="ru-RU"/>
        </w:rPr>
        <w:lastRenderedPageBreak/>
        <w:t>утворено у неконституційний спосіб.</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 xml:space="preserve">Разом </w:t>
      </w:r>
      <w:r>
        <w:rPr>
          <w:rFonts w:ascii="Times New Roman" w:eastAsia="Times New Roman" w:hAnsi="Times New Roman" w:cs="Times New Roman"/>
          <w:sz w:val="27"/>
          <w:szCs w:val="27"/>
          <w:lang w:eastAsia="ru-RU"/>
        </w:rPr>
        <w:t>і</w:t>
      </w:r>
      <w:r w:rsidRPr="005E773F">
        <w:rPr>
          <w:rFonts w:ascii="Times New Roman" w:eastAsia="Times New Roman" w:hAnsi="Times New Roman" w:cs="Times New Roman"/>
          <w:sz w:val="27"/>
          <w:szCs w:val="27"/>
          <w:lang w:eastAsia="ru-RU"/>
        </w:rPr>
        <w:t xml:space="preserve">з </w:t>
      </w:r>
      <w:r w:rsidR="00FA0430">
        <w:rPr>
          <w:rFonts w:ascii="Times New Roman" w:hAnsi="Times New Roman" w:cs="Times New Roman"/>
          <w:color w:val="000000"/>
          <w:sz w:val="27"/>
          <w:szCs w:val="27"/>
        </w:rPr>
        <w:t xml:space="preserve">ОСОБА_3 </w:t>
      </w:r>
      <w:r w:rsidRPr="005E773F">
        <w:rPr>
          <w:rFonts w:ascii="Times New Roman" w:eastAsia="Times New Roman" w:hAnsi="Times New Roman" w:cs="Times New Roman"/>
          <w:sz w:val="27"/>
          <w:szCs w:val="27"/>
          <w:lang w:eastAsia="ru-RU"/>
        </w:rPr>
        <w:t xml:space="preserve">у судовому засіданні були присутні                            </w:t>
      </w:r>
      <w:r w:rsidR="00FA0430">
        <w:rPr>
          <w:rFonts w:ascii="Times New Roman" w:eastAsia="Times New Roman" w:hAnsi="Times New Roman" w:cs="Times New Roman"/>
          <w:sz w:val="27"/>
          <w:szCs w:val="27"/>
          <w:lang w:eastAsia="ru-RU"/>
        </w:rPr>
        <w:t xml:space="preserve">                  </w:t>
      </w:r>
      <w:r w:rsidRPr="005E773F">
        <w:rPr>
          <w:rFonts w:ascii="Times New Roman" w:eastAsia="Times New Roman" w:hAnsi="Times New Roman" w:cs="Times New Roman"/>
          <w:sz w:val="27"/>
          <w:szCs w:val="27"/>
          <w:lang w:eastAsia="ru-RU"/>
        </w:rPr>
        <w:t xml:space="preserve">       10 невстано</w:t>
      </w:r>
      <w:r>
        <w:rPr>
          <w:rFonts w:ascii="Times New Roman" w:eastAsia="Times New Roman" w:hAnsi="Times New Roman" w:cs="Times New Roman"/>
          <w:sz w:val="27"/>
          <w:szCs w:val="27"/>
          <w:lang w:eastAsia="ru-RU"/>
        </w:rPr>
        <w:t>влених осіб, які поводи</w:t>
      </w:r>
      <w:r w:rsidRPr="005E773F">
        <w:rPr>
          <w:rFonts w:ascii="Times New Roman" w:eastAsia="Times New Roman" w:hAnsi="Times New Roman" w:cs="Times New Roman"/>
          <w:sz w:val="27"/>
          <w:szCs w:val="27"/>
          <w:lang w:eastAsia="ru-RU"/>
        </w:rPr>
        <w:t>ли</w:t>
      </w:r>
      <w:r>
        <w:rPr>
          <w:rFonts w:ascii="Times New Roman" w:eastAsia="Times New Roman" w:hAnsi="Times New Roman" w:cs="Times New Roman"/>
          <w:sz w:val="27"/>
          <w:szCs w:val="27"/>
          <w:lang w:eastAsia="ru-RU"/>
        </w:rPr>
        <w:t xml:space="preserve"> себе зухвало</w:t>
      </w:r>
      <w:r w:rsidRPr="005E773F">
        <w:rPr>
          <w:rFonts w:ascii="Times New Roman" w:eastAsia="Times New Roman" w:hAnsi="Times New Roman" w:cs="Times New Roman"/>
          <w:sz w:val="27"/>
          <w:szCs w:val="27"/>
          <w:lang w:eastAsia="ru-RU"/>
        </w:rPr>
        <w:t>, кричали</w:t>
      </w:r>
      <w:r>
        <w:rPr>
          <w:rFonts w:ascii="Times New Roman" w:eastAsia="Times New Roman" w:hAnsi="Times New Roman" w:cs="Times New Roman"/>
          <w:sz w:val="27"/>
          <w:szCs w:val="27"/>
          <w:lang w:eastAsia="ru-RU"/>
        </w:rPr>
        <w:t>,</w:t>
      </w:r>
      <w:r w:rsidRPr="005E773F">
        <w:rPr>
          <w:rFonts w:ascii="Times New Roman" w:eastAsia="Times New Roman" w:hAnsi="Times New Roman" w:cs="Times New Roman"/>
          <w:sz w:val="27"/>
          <w:szCs w:val="27"/>
          <w:lang w:eastAsia="ru-RU"/>
        </w:rPr>
        <w:t xml:space="preserve"> на зауваження не реагували.</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Під час п</w:t>
      </w:r>
      <w:r>
        <w:rPr>
          <w:rFonts w:ascii="Times New Roman" w:eastAsia="Times New Roman" w:hAnsi="Times New Roman" w:cs="Times New Roman"/>
          <w:sz w:val="27"/>
          <w:szCs w:val="27"/>
          <w:lang w:eastAsia="ru-RU"/>
        </w:rPr>
        <w:t>роголошення ухвали за результата</w:t>
      </w:r>
      <w:r w:rsidRPr="005E773F">
        <w:rPr>
          <w:rFonts w:ascii="Times New Roman" w:eastAsia="Times New Roman" w:hAnsi="Times New Roman" w:cs="Times New Roman"/>
          <w:sz w:val="27"/>
          <w:szCs w:val="27"/>
          <w:lang w:eastAsia="ru-RU"/>
        </w:rPr>
        <w:t>м</w:t>
      </w:r>
      <w:r>
        <w:rPr>
          <w:rFonts w:ascii="Times New Roman" w:eastAsia="Times New Roman" w:hAnsi="Times New Roman" w:cs="Times New Roman"/>
          <w:sz w:val="27"/>
          <w:szCs w:val="27"/>
          <w:lang w:eastAsia="ru-RU"/>
        </w:rPr>
        <w:t>и</w:t>
      </w:r>
      <w:r w:rsidRPr="005E773F">
        <w:rPr>
          <w:rFonts w:ascii="Times New Roman" w:eastAsia="Times New Roman" w:hAnsi="Times New Roman" w:cs="Times New Roman"/>
          <w:sz w:val="27"/>
          <w:szCs w:val="27"/>
          <w:lang w:eastAsia="ru-RU"/>
        </w:rPr>
        <w:t xml:space="preserve"> заявлених відводів вказані особи продовжували порушувати порядок у судовому засіданні,</w:t>
      </w:r>
      <w:r>
        <w:rPr>
          <w:rFonts w:ascii="Times New Roman" w:eastAsia="Times New Roman" w:hAnsi="Times New Roman" w:cs="Times New Roman"/>
          <w:sz w:val="27"/>
          <w:szCs w:val="27"/>
          <w:lang w:eastAsia="ru-RU"/>
        </w:rPr>
        <w:t xml:space="preserve">  а після проголошення ухвали</w:t>
      </w:r>
      <w:r w:rsidRPr="005E773F">
        <w:rPr>
          <w:rFonts w:ascii="Times New Roman" w:eastAsia="Times New Roman" w:hAnsi="Times New Roman" w:cs="Times New Roman"/>
          <w:sz w:val="27"/>
          <w:szCs w:val="27"/>
          <w:lang w:eastAsia="ru-RU"/>
        </w:rPr>
        <w:t xml:space="preserve"> відмовились залишити зал судових засідань, що унеможливило розгляд інших справ, призначених у цей день.</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 xml:space="preserve">Крім цього, суддям стало відомо, що один </w:t>
      </w:r>
      <w:r>
        <w:rPr>
          <w:rFonts w:ascii="Times New Roman" w:eastAsia="Times New Roman" w:hAnsi="Times New Roman" w:cs="Times New Roman"/>
          <w:sz w:val="27"/>
          <w:szCs w:val="27"/>
          <w:lang w:eastAsia="ru-RU"/>
        </w:rPr>
        <w:t>і</w:t>
      </w:r>
      <w:r w:rsidRPr="005E773F">
        <w:rPr>
          <w:rFonts w:ascii="Times New Roman" w:eastAsia="Times New Roman" w:hAnsi="Times New Roman" w:cs="Times New Roman"/>
          <w:sz w:val="27"/>
          <w:szCs w:val="27"/>
          <w:lang w:eastAsia="ru-RU"/>
        </w:rPr>
        <w:t xml:space="preserve">з вказаних осіб  звернувся на «гарячу лінію» Служби безпеки України про вчинення суддями злочину, передбаченого статтею 109 Кримінального кодексу України. </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За цим зверненням внесено</w:t>
      </w:r>
      <w:r w:rsidRPr="005E773F">
        <w:rPr>
          <w:rFonts w:ascii="Times New Roman" w:eastAsia="Times New Roman" w:hAnsi="Times New Roman" w:cs="Times New Roman"/>
          <w:sz w:val="27"/>
          <w:szCs w:val="27"/>
          <w:lang w:eastAsia="ru-RU"/>
        </w:rPr>
        <w:t xml:space="preserve"> відомості до Єдиного реєстру досудових розслідувань (далі – ЄРДР),  у зв’язку з чим суддя Бондаренко Н.В. та секретар судового засідання Ковальчук Л.В.  надавали пояснення працівникам </w:t>
      </w:r>
      <w:r>
        <w:rPr>
          <w:rFonts w:ascii="Times New Roman" w:eastAsia="Times New Roman" w:hAnsi="Times New Roman" w:cs="Times New Roman"/>
          <w:sz w:val="27"/>
          <w:szCs w:val="27"/>
          <w:lang w:eastAsia="ru-RU"/>
        </w:rPr>
        <w:t>Служби безпеки України</w:t>
      </w:r>
      <w:r w:rsidRPr="005E773F">
        <w:rPr>
          <w:rFonts w:ascii="Times New Roman" w:eastAsia="Times New Roman" w:hAnsi="Times New Roman" w:cs="Times New Roman"/>
          <w:sz w:val="27"/>
          <w:szCs w:val="27"/>
          <w:lang w:eastAsia="ru-RU"/>
        </w:rPr>
        <w:t>.</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eastAsia="Times New Roman" w:hAnsi="Times New Roman" w:cs="Times New Roman"/>
          <w:sz w:val="27"/>
          <w:szCs w:val="27"/>
          <w:lang w:eastAsia="ru-RU"/>
        </w:rPr>
        <w:t xml:space="preserve">Судді вважають, що зазначене є </w:t>
      </w:r>
      <w:r>
        <w:rPr>
          <w:rFonts w:ascii="Times New Roman" w:eastAsia="Times New Roman" w:hAnsi="Times New Roman" w:cs="Times New Roman"/>
          <w:sz w:val="27"/>
          <w:szCs w:val="27"/>
          <w:lang w:eastAsia="ru-RU"/>
        </w:rPr>
        <w:t>способом впливу та тиску на суд</w:t>
      </w:r>
      <w:r w:rsidRPr="005E773F">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і</w:t>
      </w:r>
      <w:r w:rsidRPr="005E773F">
        <w:rPr>
          <w:rFonts w:ascii="Times New Roman" w:eastAsia="Times New Roman" w:hAnsi="Times New Roman" w:cs="Times New Roman"/>
          <w:sz w:val="27"/>
          <w:szCs w:val="27"/>
          <w:lang w:eastAsia="ru-RU"/>
        </w:rPr>
        <w:t xml:space="preserve">з метою вирішення справи на користь позивача – </w:t>
      </w:r>
      <w:r w:rsidR="00FA0430">
        <w:rPr>
          <w:rFonts w:ascii="Times New Roman" w:hAnsi="Times New Roman" w:cs="Times New Roman"/>
          <w:color w:val="000000"/>
          <w:sz w:val="27"/>
          <w:szCs w:val="27"/>
        </w:rPr>
        <w:t xml:space="preserve">ОСОБА_3 </w:t>
      </w:r>
      <w:r w:rsidRPr="005E773F">
        <w:rPr>
          <w:rFonts w:ascii="Times New Roman" w:eastAsia="Times New Roman" w:hAnsi="Times New Roman" w:cs="Times New Roman"/>
          <w:sz w:val="27"/>
          <w:szCs w:val="27"/>
          <w:lang w:eastAsia="ru-RU"/>
        </w:rPr>
        <w:t>та є  втручанням у діяльність суддів.</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hAnsi="Times New Roman" w:cs="Times New Roman"/>
          <w:color w:val="1D1D1B"/>
          <w:sz w:val="27"/>
          <w:szCs w:val="27"/>
          <w:shd w:val="clear" w:color="auto" w:fill="FFFFFF"/>
        </w:rPr>
        <w:t>Відповідно до вимог статті 48 Закону України «Про с</w:t>
      </w:r>
      <w:r>
        <w:rPr>
          <w:rFonts w:ascii="Times New Roman" w:hAnsi="Times New Roman" w:cs="Times New Roman"/>
          <w:color w:val="1D1D1B"/>
          <w:sz w:val="27"/>
          <w:szCs w:val="27"/>
          <w:shd w:val="clear" w:color="auto" w:fill="FFFFFF"/>
        </w:rPr>
        <w:t>удоустрій і статус суддів» судді звернулися</w:t>
      </w:r>
      <w:r w:rsidRPr="005E773F">
        <w:rPr>
          <w:rFonts w:ascii="Times New Roman" w:hAnsi="Times New Roman" w:cs="Times New Roman"/>
          <w:color w:val="1D1D1B"/>
          <w:sz w:val="27"/>
          <w:szCs w:val="27"/>
          <w:shd w:val="clear" w:color="auto" w:fill="FFFFFF"/>
        </w:rPr>
        <w:t xml:space="preserve"> із по</w:t>
      </w:r>
      <w:r>
        <w:rPr>
          <w:rFonts w:ascii="Times New Roman" w:hAnsi="Times New Roman" w:cs="Times New Roman"/>
          <w:color w:val="1D1D1B"/>
          <w:sz w:val="27"/>
          <w:szCs w:val="27"/>
          <w:shd w:val="clear" w:color="auto" w:fill="FFFFFF"/>
        </w:rPr>
        <w:t>відомленням про втручання у їхню</w:t>
      </w:r>
      <w:r w:rsidRPr="005E773F">
        <w:rPr>
          <w:rFonts w:ascii="Times New Roman" w:hAnsi="Times New Roman" w:cs="Times New Roman"/>
          <w:color w:val="1D1D1B"/>
          <w:sz w:val="27"/>
          <w:szCs w:val="27"/>
          <w:shd w:val="clear" w:color="auto" w:fill="FFFFFF"/>
        </w:rPr>
        <w:t xml:space="preserve"> діяльність щодо здійснення правосуддя до Вищої ради правосуддя та до Генерального прокурора.</w:t>
      </w:r>
    </w:p>
    <w:p w:rsidR="003F1F58" w:rsidRPr="005E773F" w:rsidRDefault="003F1F58" w:rsidP="003F1F58">
      <w:pPr>
        <w:widowControl w:val="0"/>
        <w:autoSpaceDE w:val="0"/>
        <w:autoSpaceDN w:val="0"/>
        <w:adjustRightInd w:val="0"/>
        <w:spacing w:after="0" w:line="320" w:lineRule="exact"/>
        <w:ind w:firstLine="708"/>
        <w:jc w:val="both"/>
        <w:rPr>
          <w:rFonts w:ascii="Times New Roman" w:eastAsia="Times New Roman" w:hAnsi="Times New Roman" w:cs="Times New Roman"/>
          <w:sz w:val="27"/>
          <w:szCs w:val="27"/>
          <w:lang w:eastAsia="ru-RU"/>
        </w:rPr>
      </w:pPr>
      <w:r w:rsidRPr="005E773F">
        <w:rPr>
          <w:rFonts w:ascii="Times New Roman" w:hAnsi="Times New Roman" w:cs="Times New Roman"/>
          <w:color w:val="1D1D1B"/>
          <w:sz w:val="27"/>
          <w:szCs w:val="27"/>
          <w:shd w:val="clear" w:color="auto" w:fill="FFFFFF"/>
        </w:rPr>
        <w:t>Пунктом 23.3 Регламенту Вищої ради правосуддя встановлено, що, отримавши звернення, член Ради здійснює підготовку його до розгляду. Під час підготовки до розгляду член Ради проводить перевірку з метою встановлення (підтвердження) фактів втручання в діяльність судді, а також дій, що несуть загрозу незалежності суддів та авторитету правосуддя.</w:t>
      </w:r>
    </w:p>
    <w:p w:rsidR="003F1F58" w:rsidRPr="005E773F" w:rsidRDefault="003F1F58" w:rsidP="003F1F58">
      <w:pPr>
        <w:pStyle w:val="a3"/>
        <w:spacing w:before="0" w:beforeAutospacing="0" w:after="0" w:afterAutospacing="0"/>
        <w:ind w:firstLine="567"/>
        <w:jc w:val="both"/>
        <w:rPr>
          <w:sz w:val="27"/>
          <w:szCs w:val="27"/>
          <w:lang w:eastAsia="ru-RU"/>
        </w:rPr>
      </w:pPr>
      <w:r w:rsidRPr="005E773F">
        <w:rPr>
          <w:sz w:val="27"/>
          <w:szCs w:val="27"/>
          <w:lang w:eastAsia="ru-RU"/>
        </w:rPr>
        <w:t xml:space="preserve">На запит члена Вищої ради правосуддя Артеменка І.А. 5 березня                       2020 року надійшов лист з Офісу Генерального прокурора, в якому зазначено, що повідомлення суддів Рівненського </w:t>
      </w:r>
      <w:r>
        <w:rPr>
          <w:sz w:val="27"/>
          <w:szCs w:val="27"/>
          <w:lang w:eastAsia="ru-RU"/>
        </w:rPr>
        <w:t>апеляційного суду скеровано до П</w:t>
      </w:r>
      <w:r w:rsidRPr="005E773F">
        <w:rPr>
          <w:sz w:val="27"/>
          <w:szCs w:val="27"/>
          <w:lang w:eastAsia="ru-RU"/>
        </w:rPr>
        <w:t>рокуратури Рівненської області.</w:t>
      </w:r>
    </w:p>
    <w:p w:rsidR="003F1F58" w:rsidRPr="005E773F" w:rsidRDefault="003F1F58" w:rsidP="003F1F58">
      <w:pPr>
        <w:spacing w:after="0" w:line="240" w:lineRule="auto"/>
        <w:ind w:firstLine="567"/>
        <w:jc w:val="both"/>
        <w:rPr>
          <w:rFonts w:ascii="Times New Roman" w:hAnsi="Times New Roman" w:cs="Times New Roman"/>
          <w:sz w:val="27"/>
          <w:szCs w:val="27"/>
        </w:rPr>
      </w:pPr>
      <w:r w:rsidRPr="005E773F">
        <w:rPr>
          <w:rFonts w:ascii="Times New Roman" w:hAnsi="Times New Roman" w:cs="Times New Roman"/>
          <w:sz w:val="27"/>
          <w:szCs w:val="27"/>
        </w:rPr>
        <w:t>24 березня 2020 року до Вищої</w:t>
      </w:r>
      <w:r>
        <w:rPr>
          <w:rFonts w:ascii="Times New Roman" w:hAnsi="Times New Roman" w:cs="Times New Roman"/>
          <w:sz w:val="27"/>
          <w:szCs w:val="27"/>
        </w:rPr>
        <w:t xml:space="preserve"> ради правосуддя надійшов лист П</w:t>
      </w:r>
      <w:r w:rsidRPr="005E773F">
        <w:rPr>
          <w:rFonts w:ascii="Times New Roman" w:hAnsi="Times New Roman" w:cs="Times New Roman"/>
          <w:sz w:val="27"/>
          <w:szCs w:val="27"/>
        </w:rPr>
        <w:t>рокуратури Рівненської області, в яко</w:t>
      </w:r>
      <w:r>
        <w:rPr>
          <w:rFonts w:ascii="Times New Roman" w:hAnsi="Times New Roman" w:cs="Times New Roman"/>
          <w:sz w:val="27"/>
          <w:szCs w:val="27"/>
        </w:rPr>
        <w:t xml:space="preserve">му повідомлено, що 10 березня </w:t>
      </w:r>
      <w:r w:rsidRPr="005E773F">
        <w:rPr>
          <w:rFonts w:ascii="Times New Roman" w:hAnsi="Times New Roman" w:cs="Times New Roman"/>
          <w:sz w:val="27"/>
          <w:szCs w:val="27"/>
        </w:rPr>
        <w:t xml:space="preserve">2020 року за фактами, викладеними у повідомленні суддів Рівненського апеляційного суду </w:t>
      </w:r>
      <w:r>
        <w:rPr>
          <w:rFonts w:ascii="Times New Roman" w:hAnsi="Times New Roman" w:cs="Times New Roman"/>
          <w:sz w:val="27"/>
          <w:szCs w:val="27"/>
        </w:rPr>
        <w:t xml:space="preserve">            </w:t>
      </w:r>
      <w:r w:rsidRPr="005E773F">
        <w:rPr>
          <w:rFonts w:ascii="Times New Roman" w:hAnsi="Times New Roman" w:cs="Times New Roman"/>
          <w:sz w:val="27"/>
          <w:szCs w:val="27"/>
        </w:rPr>
        <w:t>Бондаренко Н.В., Гордійчук С.О., Ковальчук Н.М. про втручання в діяльність судді щодо здійснення правосуддя, Рівненськ</w:t>
      </w:r>
      <w:r>
        <w:rPr>
          <w:rFonts w:ascii="Times New Roman" w:hAnsi="Times New Roman" w:cs="Times New Roman"/>
          <w:sz w:val="27"/>
          <w:szCs w:val="27"/>
        </w:rPr>
        <w:t>ою місцевою прокуратурою внесено</w:t>
      </w:r>
      <w:r w:rsidRPr="005E773F">
        <w:rPr>
          <w:rFonts w:ascii="Times New Roman" w:hAnsi="Times New Roman" w:cs="Times New Roman"/>
          <w:sz w:val="27"/>
          <w:szCs w:val="27"/>
        </w:rPr>
        <w:t xml:space="preserve"> відомості до ЄРДР за № </w:t>
      </w:r>
      <w:r w:rsidR="00FA0430">
        <w:rPr>
          <w:rFonts w:ascii="Times New Roman" w:hAnsi="Times New Roman" w:cs="Times New Roman"/>
          <w:sz w:val="27"/>
          <w:szCs w:val="27"/>
        </w:rPr>
        <w:t>_____________</w:t>
      </w:r>
      <w:r w:rsidRPr="005E773F">
        <w:rPr>
          <w:rFonts w:ascii="Times New Roman" w:hAnsi="Times New Roman" w:cs="Times New Roman"/>
          <w:sz w:val="27"/>
          <w:szCs w:val="27"/>
        </w:rPr>
        <w:t xml:space="preserve"> за ознаками кримінального правопорушення, передбаченого частиною першою статті 376 КК України. </w:t>
      </w:r>
    </w:p>
    <w:p w:rsidR="003F1F58" w:rsidRPr="005E773F" w:rsidRDefault="003F1F58" w:rsidP="003F1F58">
      <w:pPr>
        <w:spacing w:after="0" w:line="240" w:lineRule="auto"/>
        <w:ind w:firstLine="567"/>
        <w:jc w:val="both"/>
        <w:rPr>
          <w:rFonts w:ascii="Times New Roman" w:hAnsi="Times New Roman" w:cs="Times New Roman"/>
          <w:sz w:val="27"/>
          <w:szCs w:val="27"/>
        </w:rPr>
      </w:pPr>
      <w:r w:rsidRPr="005E773F">
        <w:rPr>
          <w:rFonts w:ascii="Times New Roman" w:hAnsi="Times New Roman" w:cs="Times New Roman"/>
          <w:sz w:val="27"/>
          <w:szCs w:val="27"/>
        </w:rPr>
        <w:t>З метою забезпечення швидкого, повного та неупередженого</w:t>
      </w:r>
      <w:r>
        <w:rPr>
          <w:rFonts w:ascii="Times New Roman" w:hAnsi="Times New Roman" w:cs="Times New Roman"/>
          <w:sz w:val="27"/>
          <w:szCs w:val="27"/>
        </w:rPr>
        <w:t xml:space="preserve"> розслідування у розумні строки</w:t>
      </w:r>
      <w:r w:rsidRPr="005E773F">
        <w:rPr>
          <w:rFonts w:ascii="Times New Roman" w:hAnsi="Times New Roman" w:cs="Times New Roman"/>
          <w:sz w:val="27"/>
          <w:szCs w:val="27"/>
        </w:rPr>
        <w:t xml:space="preserve"> у кримінальному провадженні призначено групу слідчих СВ Рівненського ВП ГУ НП  в Рівненській області. На </w:t>
      </w:r>
      <w:r>
        <w:rPr>
          <w:rFonts w:ascii="Times New Roman" w:hAnsi="Times New Roman" w:cs="Times New Roman"/>
          <w:sz w:val="27"/>
          <w:szCs w:val="27"/>
        </w:rPr>
        <w:t>це</w:t>
      </w:r>
      <w:r w:rsidRPr="005E773F">
        <w:rPr>
          <w:rFonts w:ascii="Times New Roman" w:hAnsi="Times New Roman" w:cs="Times New Roman"/>
          <w:sz w:val="27"/>
          <w:szCs w:val="27"/>
        </w:rPr>
        <w:t>й час досудове розслідування у кримінальному провадженні триває.</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 xml:space="preserve">Згідно з пунктами 1, 2 Основних принципів незалежності судових органів, схвалених резолюціями 40/32 та 40/146 Генеральної Асамблеї ООН 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w:t>
      </w:r>
      <w:r w:rsidRPr="005E773F">
        <w:rPr>
          <w:color w:val="1D1D1B"/>
          <w:sz w:val="27"/>
          <w:szCs w:val="27"/>
        </w:rPr>
        <w:lastRenderedPageBreak/>
        <w:t>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прямого чи непрямого, з будь-якого боку і з будь-яких би то не було причин.</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Незалежність суддів гарантується статтями 126, 129 Конституції України, якими встановлено, що судді, здійснюючи правосуддя, є незалежними та керуються верховенством права.</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 xml:space="preserve">Постановою Пленуму Верховного Суду України від 13 червня 2007 року </w:t>
      </w:r>
      <w:r>
        <w:rPr>
          <w:color w:val="1D1D1B"/>
          <w:sz w:val="27"/>
          <w:szCs w:val="27"/>
        </w:rPr>
        <w:t xml:space="preserve">  </w:t>
      </w:r>
      <w:r w:rsidRPr="005E773F">
        <w:rPr>
          <w:color w:val="1D1D1B"/>
          <w:sz w:val="27"/>
          <w:szCs w:val="27"/>
        </w:rPr>
        <w:t>№ 8 «Про незалежність судової влади» надано відповідні роз’яснення. Зокрема, зазначено, що положення частини другої статті 126 Конституції України про те, що вплив на суддів у будь-який спосіб забороняється, означає заборону будь-яких дій стосовно суддів незалежно від форми їх прояву з боку державних органів, органів місцевого самоврядування, їх посадових і службових осіб, установ, організацій, громадян та їх об’єднань, юридичних осіб з метою перешкодити виконанню суддями професійних обов’язків чи схилити їх до винесення неправосудного рішення. Заборона впливу на суддів у будь-який спосіб поширюється на весь час обіймання ними посади судді.</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Частиною третьою статті 6 Закону України «Про судоустрій і статус суддів» визначено, що втручання у здійснення правосуддя, вплив на суд або суддів у будь-який спосіб, неповага до суду чи суддів, збирання, зберігання, викорис</w:t>
      </w:r>
      <w:r>
        <w:rPr>
          <w:color w:val="1D1D1B"/>
          <w:sz w:val="27"/>
          <w:szCs w:val="27"/>
        </w:rPr>
        <w:t>тання</w:t>
      </w:r>
      <w:r w:rsidRPr="005E773F">
        <w:rPr>
          <w:color w:val="1D1D1B"/>
          <w:sz w:val="27"/>
          <w:szCs w:val="27"/>
        </w:rPr>
        <w:t xml:space="preserve"> і поширення інформації усно, письмово  або в інший спосіб з метою дискредитації суду або впливу на безсторонність суду, заклики до невиконання рішень забороняються і мають наслідком відповідальність, установлену законом.</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Згідно зі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Статтею 131 Конституції України визначено, що Вища рада правосуддя вживає заходів щодо забезпечення незалежності суддів.</w:t>
      </w:r>
    </w:p>
    <w:p w:rsidR="003F1F58" w:rsidRPr="005E773F" w:rsidRDefault="003F1F58" w:rsidP="003F1F58">
      <w:pPr>
        <w:pStyle w:val="rtejustify"/>
        <w:shd w:val="clear" w:color="auto" w:fill="FFFFFF"/>
        <w:spacing w:before="0" w:beforeAutospacing="0" w:after="0" w:afterAutospacing="0"/>
        <w:ind w:firstLine="567"/>
        <w:jc w:val="both"/>
        <w:rPr>
          <w:color w:val="1D1D1B"/>
          <w:sz w:val="27"/>
          <w:szCs w:val="27"/>
        </w:rPr>
      </w:pPr>
      <w:r w:rsidRPr="005E773F">
        <w:rPr>
          <w:color w:val="1D1D1B"/>
          <w:sz w:val="27"/>
          <w:szCs w:val="27"/>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3F1F58" w:rsidRPr="005E773F" w:rsidRDefault="003F1F58" w:rsidP="003F1F58">
      <w:pPr>
        <w:spacing w:after="0" w:line="240" w:lineRule="auto"/>
        <w:ind w:firstLine="567"/>
        <w:jc w:val="both"/>
        <w:rPr>
          <w:rFonts w:ascii="Times New Roman" w:eastAsia="Times New Roman" w:hAnsi="Times New Roman" w:cs="Times New Roman"/>
          <w:sz w:val="27"/>
          <w:szCs w:val="27"/>
          <w:lang w:eastAsia="uk-UA"/>
        </w:rPr>
      </w:pPr>
      <w:r>
        <w:rPr>
          <w:rFonts w:ascii="Times New Roman" w:eastAsia="Arial Unicode MS" w:hAnsi="Times New Roman" w:cs="Times New Roman"/>
          <w:color w:val="000000"/>
          <w:sz w:val="27"/>
          <w:szCs w:val="27"/>
          <w:lang w:eastAsia="uk-UA" w:bidi="uk-UA"/>
        </w:rPr>
        <w:lastRenderedPageBreak/>
        <w:t xml:space="preserve">Оскільки під час </w:t>
      </w:r>
      <w:r w:rsidRPr="005E773F">
        <w:rPr>
          <w:rFonts w:ascii="Times New Roman" w:eastAsia="Arial Unicode MS" w:hAnsi="Times New Roman" w:cs="Times New Roman"/>
          <w:color w:val="000000"/>
          <w:sz w:val="27"/>
          <w:szCs w:val="27"/>
          <w:lang w:eastAsia="uk-UA" w:bidi="uk-UA"/>
        </w:rPr>
        <w:t>перевірки встановлено, що 10 березня 2020 року Рівненською місцевою прокуратурою за повідомленням суддів Рівненського апеляційного суду Бондаренко Н.В., Гордійчук С.О., Ковальчук Н.М. внесено відомості до ЄРДР за №</w:t>
      </w:r>
      <w:r w:rsidRPr="005E773F">
        <w:rPr>
          <w:rFonts w:ascii="Times New Roman" w:hAnsi="Times New Roman" w:cs="Times New Roman"/>
          <w:sz w:val="27"/>
          <w:szCs w:val="27"/>
        </w:rPr>
        <w:t xml:space="preserve"> </w:t>
      </w:r>
      <w:r w:rsidR="00FA0430">
        <w:rPr>
          <w:rFonts w:ascii="Times New Roman" w:hAnsi="Times New Roman" w:cs="Times New Roman"/>
          <w:sz w:val="27"/>
          <w:szCs w:val="27"/>
        </w:rPr>
        <w:t>_________________</w:t>
      </w:r>
      <w:r w:rsidRPr="005E773F">
        <w:rPr>
          <w:rFonts w:ascii="Times New Roman" w:hAnsi="Times New Roman" w:cs="Times New Roman"/>
          <w:sz w:val="27"/>
          <w:szCs w:val="27"/>
        </w:rPr>
        <w:t xml:space="preserve"> за ознаками кримінального правопорушення, передбаченого частиною першою статті 376 КК України, та наразі досудове розслідування у вказаному кримінальному провадженні здійснюється СВ Рівненським ВП ГУНП в Рівненській області</w:t>
      </w:r>
      <w:r w:rsidRPr="005E773F">
        <w:rPr>
          <w:rFonts w:ascii="Times New Roman" w:eastAsia="Times New Roman" w:hAnsi="Times New Roman" w:cs="Times New Roman"/>
          <w:sz w:val="27"/>
          <w:szCs w:val="27"/>
          <w:lang w:eastAsia="uk-UA"/>
        </w:rPr>
        <w:t xml:space="preserve">, Вища рада правосуддя вважає за необхідне на підставі пункту 6 частини першої                   статті 73 Закону України «Про Вищу раду правосуддя» звернутися до </w:t>
      </w:r>
      <w:r w:rsidRPr="005E773F">
        <w:rPr>
          <w:rFonts w:ascii="Times New Roman" w:eastAsiaTheme="minorEastAsia" w:hAnsi="Times New Roman" w:cs="Times New Roman"/>
          <w:sz w:val="27"/>
          <w:szCs w:val="27"/>
          <w:lang w:eastAsia="ru-RU"/>
        </w:rPr>
        <w:t xml:space="preserve">Офісу Генерального прокурора </w:t>
      </w:r>
      <w:r w:rsidRPr="005E773F">
        <w:rPr>
          <w:rFonts w:ascii="Times New Roman" w:eastAsia="Times New Roman" w:hAnsi="Times New Roman" w:cs="Times New Roman"/>
          <w:sz w:val="27"/>
          <w:szCs w:val="27"/>
          <w:lang w:eastAsia="uk-UA"/>
        </w:rPr>
        <w:t>щодо надання інформації про розкриття та розслідування цього злочину.</w:t>
      </w:r>
    </w:p>
    <w:p w:rsidR="003F1F58" w:rsidRPr="005E773F" w:rsidRDefault="003F1F58" w:rsidP="003F1F58">
      <w:pPr>
        <w:spacing w:after="0" w:line="240" w:lineRule="auto"/>
        <w:ind w:firstLine="567"/>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 xml:space="preserve">Враховуючи викладене, Вища рада правосуддя, керуючись статтею 131 Конституції України, статтями 3, 73 Закону України «Про Вищу раду правосуддя», </w:t>
      </w:r>
    </w:p>
    <w:p w:rsidR="003F1F58" w:rsidRPr="005E773F" w:rsidRDefault="003F1F58" w:rsidP="003F1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center"/>
        <w:rPr>
          <w:rFonts w:ascii="Times New Roman" w:eastAsiaTheme="minorEastAsia" w:hAnsi="Times New Roman" w:cs="Times New Roman"/>
          <w:b/>
          <w:sz w:val="27"/>
          <w:szCs w:val="27"/>
          <w:lang w:eastAsia="ru-RU"/>
        </w:rPr>
      </w:pPr>
    </w:p>
    <w:p w:rsidR="003F1F58" w:rsidRPr="005E773F" w:rsidRDefault="003F1F58" w:rsidP="003F1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center"/>
        <w:rPr>
          <w:rFonts w:ascii="Times New Roman" w:eastAsiaTheme="minorEastAsia" w:hAnsi="Times New Roman" w:cs="Times New Roman"/>
          <w:b/>
          <w:sz w:val="27"/>
          <w:szCs w:val="27"/>
          <w:lang w:eastAsia="ru-RU"/>
        </w:rPr>
      </w:pPr>
      <w:r w:rsidRPr="005E773F">
        <w:rPr>
          <w:rFonts w:ascii="Times New Roman" w:eastAsiaTheme="minorEastAsia" w:hAnsi="Times New Roman" w:cs="Times New Roman"/>
          <w:b/>
          <w:sz w:val="27"/>
          <w:szCs w:val="27"/>
          <w:lang w:eastAsia="ru-RU"/>
        </w:rPr>
        <w:t>вирішила:</w:t>
      </w:r>
    </w:p>
    <w:p w:rsidR="003F1F58" w:rsidRPr="005E773F" w:rsidRDefault="003F1F58" w:rsidP="003F1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heme="minorEastAsia" w:hAnsi="Times New Roman" w:cs="Times New Roman"/>
          <w:b/>
          <w:sz w:val="27"/>
          <w:szCs w:val="27"/>
          <w:lang w:eastAsia="ru-RU"/>
        </w:rPr>
      </w:pPr>
    </w:p>
    <w:p w:rsidR="003F1F58" w:rsidRPr="005E773F" w:rsidRDefault="003F1F58" w:rsidP="003F1F58">
      <w:pPr>
        <w:spacing w:after="200" w:line="240" w:lineRule="auto"/>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sz w:val="27"/>
          <w:szCs w:val="27"/>
          <w:lang w:eastAsia="ru-RU"/>
        </w:rPr>
        <w:t xml:space="preserve">звернутися до Офісу Генерального прокурора щодо надання інформації про розкриття та розслідування злочину у кримінальному провадженні                                       </w:t>
      </w:r>
      <w:r w:rsidRPr="005E773F">
        <w:rPr>
          <w:rFonts w:ascii="Times New Roman" w:eastAsia="Times New Roman" w:hAnsi="Times New Roman" w:cs="Times New Roman"/>
          <w:sz w:val="27"/>
          <w:szCs w:val="27"/>
          <w:lang w:eastAsia="ru-RU"/>
        </w:rPr>
        <w:t>№</w:t>
      </w:r>
      <w:r w:rsidRPr="005E773F">
        <w:rPr>
          <w:rFonts w:ascii="Times New Roman" w:hAnsi="Times New Roman" w:cs="Times New Roman"/>
          <w:sz w:val="27"/>
          <w:szCs w:val="27"/>
        </w:rPr>
        <w:t xml:space="preserve"> </w:t>
      </w:r>
      <w:r w:rsidR="00FA0430">
        <w:rPr>
          <w:rFonts w:ascii="Times New Roman" w:hAnsi="Times New Roman" w:cs="Times New Roman"/>
          <w:sz w:val="27"/>
          <w:szCs w:val="27"/>
        </w:rPr>
        <w:t>_____________</w:t>
      </w:r>
      <w:bookmarkStart w:id="2" w:name="_GoBack"/>
      <w:bookmarkEnd w:id="2"/>
      <w:r>
        <w:rPr>
          <w:rFonts w:ascii="Times New Roman" w:hAnsi="Times New Roman" w:cs="Times New Roman"/>
          <w:sz w:val="27"/>
          <w:szCs w:val="27"/>
        </w:rPr>
        <w:t xml:space="preserve"> </w:t>
      </w:r>
      <w:r w:rsidRPr="005E773F">
        <w:rPr>
          <w:rFonts w:ascii="Times New Roman" w:hAnsi="Times New Roman" w:cs="Times New Roman"/>
          <w:sz w:val="27"/>
          <w:szCs w:val="27"/>
        </w:rPr>
        <w:t xml:space="preserve">за ознаками кримінального правопорушення, передбаченого частиною першою статті 376 </w:t>
      </w:r>
      <w:r w:rsidRPr="005E773F">
        <w:rPr>
          <w:rFonts w:ascii="Times New Roman" w:eastAsia="Times New Roman" w:hAnsi="Times New Roman" w:cs="Times New Roman"/>
          <w:sz w:val="27"/>
          <w:szCs w:val="27"/>
          <w:lang w:eastAsia="ru-RU"/>
        </w:rPr>
        <w:t xml:space="preserve">Кримінального кодексу України. </w:t>
      </w:r>
    </w:p>
    <w:p w:rsidR="003F1F58" w:rsidRPr="005E773F" w:rsidRDefault="003F1F58" w:rsidP="003F1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sz w:val="27"/>
          <w:szCs w:val="27"/>
          <w:lang w:eastAsia="ru-RU"/>
        </w:rPr>
      </w:pPr>
    </w:p>
    <w:p w:rsidR="003F1F58" w:rsidRPr="005E773F" w:rsidRDefault="003F1F58" w:rsidP="003F1F58">
      <w:pPr>
        <w:tabs>
          <w:tab w:val="left" w:pos="6946"/>
        </w:tabs>
        <w:spacing w:after="0" w:line="240" w:lineRule="auto"/>
        <w:jc w:val="both"/>
        <w:rPr>
          <w:rFonts w:ascii="Times New Roman" w:eastAsiaTheme="minorEastAsia" w:hAnsi="Times New Roman" w:cs="Times New Roman"/>
          <w:sz w:val="27"/>
          <w:szCs w:val="27"/>
          <w:lang w:eastAsia="ru-RU"/>
        </w:rPr>
      </w:pPr>
      <w:r w:rsidRPr="005E773F">
        <w:rPr>
          <w:rFonts w:ascii="Times New Roman" w:eastAsiaTheme="minorEastAsia" w:hAnsi="Times New Roman" w:cs="Times New Roman"/>
          <w:b/>
          <w:sz w:val="27"/>
          <w:szCs w:val="27"/>
          <w:lang w:eastAsia="ru-RU"/>
        </w:rPr>
        <w:t>Голова Вищої ради правосуддя</w:t>
      </w:r>
      <w:r w:rsidRPr="005E773F">
        <w:rPr>
          <w:rFonts w:ascii="Times New Roman" w:eastAsiaTheme="minorEastAsia" w:hAnsi="Times New Roman" w:cs="Times New Roman"/>
          <w:b/>
          <w:sz w:val="27"/>
          <w:szCs w:val="27"/>
          <w:lang w:eastAsia="ru-RU"/>
        </w:rPr>
        <w:tab/>
        <w:t xml:space="preserve">      </w:t>
      </w:r>
      <w:r>
        <w:rPr>
          <w:rFonts w:ascii="Times New Roman" w:eastAsiaTheme="minorEastAsia" w:hAnsi="Times New Roman" w:cs="Times New Roman"/>
          <w:b/>
          <w:sz w:val="27"/>
          <w:szCs w:val="27"/>
          <w:lang w:eastAsia="ru-RU"/>
        </w:rPr>
        <w:t xml:space="preserve">   </w:t>
      </w:r>
      <w:r w:rsidRPr="005E773F">
        <w:rPr>
          <w:rFonts w:ascii="Times New Roman" w:eastAsiaTheme="minorEastAsia" w:hAnsi="Times New Roman" w:cs="Times New Roman"/>
          <w:b/>
          <w:sz w:val="27"/>
          <w:szCs w:val="27"/>
          <w:lang w:eastAsia="ru-RU"/>
        </w:rPr>
        <w:t xml:space="preserve"> А.А. Овсієнко</w:t>
      </w:r>
    </w:p>
    <w:p w:rsidR="003F1F58" w:rsidRPr="005E773F" w:rsidRDefault="003F1F58" w:rsidP="003F1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7"/>
          <w:szCs w:val="27"/>
          <w:lang w:eastAsia="uk-UA"/>
        </w:rPr>
      </w:pPr>
    </w:p>
    <w:p w:rsidR="003F1F58" w:rsidRPr="005E773F" w:rsidRDefault="003F1F58" w:rsidP="003F1F58">
      <w:pPr>
        <w:rPr>
          <w:sz w:val="27"/>
          <w:szCs w:val="27"/>
        </w:rPr>
      </w:pPr>
    </w:p>
    <w:p w:rsidR="00C3315E" w:rsidRPr="003F1F58" w:rsidRDefault="00C3315E" w:rsidP="003F1F58"/>
    <w:sectPr w:rsidR="00C3315E" w:rsidRPr="003F1F58" w:rsidSect="005E773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C9B" w:rsidRDefault="00655C9B" w:rsidP="005E773F">
      <w:pPr>
        <w:spacing w:after="0" w:line="240" w:lineRule="auto"/>
      </w:pPr>
      <w:r>
        <w:separator/>
      </w:r>
    </w:p>
  </w:endnote>
  <w:endnote w:type="continuationSeparator" w:id="0">
    <w:p w:rsidR="00655C9B" w:rsidRDefault="00655C9B" w:rsidP="005E7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C9B" w:rsidRDefault="00655C9B" w:rsidP="005E773F">
      <w:pPr>
        <w:spacing w:after="0" w:line="240" w:lineRule="auto"/>
      </w:pPr>
      <w:r>
        <w:separator/>
      </w:r>
    </w:p>
  </w:footnote>
  <w:footnote w:type="continuationSeparator" w:id="0">
    <w:p w:rsidR="00655C9B" w:rsidRDefault="00655C9B" w:rsidP="005E7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906524"/>
      <w:docPartObj>
        <w:docPartGallery w:val="Page Numbers (Top of Page)"/>
        <w:docPartUnique/>
      </w:docPartObj>
    </w:sdtPr>
    <w:sdtEndPr/>
    <w:sdtContent>
      <w:p w:rsidR="005E773F" w:rsidRDefault="005E773F">
        <w:pPr>
          <w:pStyle w:val="a4"/>
          <w:jc w:val="center"/>
        </w:pPr>
        <w:r>
          <w:fldChar w:fldCharType="begin"/>
        </w:r>
        <w:r>
          <w:instrText>PAGE   \* MERGEFORMAT</w:instrText>
        </w:r>
        <w:r>
          <w:fldChar w:fldCharType="separate"/>
        </w:r>
        <w:r w:rsidR="00FA0430">
          <w:rPr>
            <w:noProof/>
          </w:rPr>
          <w:t>4</w:t>
        </w:r>
        <w:r>
          <w:fldChar w:fldCharType="end"/>
        </w:r>
      </w:p>
    </w:sdtContent>
  </w:sdt>
  <w:p w:rsidR="005E773F" w:rsidRDefault="005E77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83E"/>
    <w:rsid w:val="00014FDA"/>
    <w:rsid w:val="003F1F58"/>
    <w:rsid w:val="00547526"/>
    <w:rsid w:val="005E773F"/>
    <w:rsid w:val="00655C9B"/>
    <w:rsid w:val="00673E91"/>
    <w:rsid w:val="00C3315E"/>
    <w:rsid w:val="00F2783E"/>
    <w:rsid w:val="00FA04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2ADA9"/>
  <w15:chartTrackingRefBased/>
  <w15:docId w15:val="{7DC16C5D-17FE-4D4E-BDE1-7A3C3FEF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F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77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E77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5E773F"/>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5E773F"/>
  </w:style>
  <w:style w:type="paragraph" w:styleId="a6">
    <w:name w:val="footer"/>
    <w:basedOn w:val="a"/>
    <w:link w:val="a7"/>
    <w:uiPriority w:val="99"/>
    <w:unhideWhenUsed/>
    <w:rsid w:val="005E773F"/>
    <w:pPr>
      <w:tabs>
        <w:tab w:val="center" w:pos="4677"/>
        <w:tab w:val="right" w:pos="9355"/>
      </w:tabs>
      <w:spacing w:after="0" w:line="240" w:lineRule="auto"/>
    </w:pPr>
  </w:style>
  <w:style w:type="character" w:customStyle="1" w:styleId="a7">
    <w:name w:val="Нижній колонтитул Знак"/>
    <w:basedOn w:val="a0"/>
    <w:link w:val="a6"/>
    <w:uiPriority w:val="99"/>
    <w:rsid w:val="005E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6030</Words>
  <Characters>3438</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Галушка (VRU-US10PC38 - o.galushka)</cp:lastModifiedBy>
  <cp:revision>2</cp:revision>
  <dcterms:created xsi:type="dcterms:W3CDTF">2020-04-23T15:16:00Z</dcterms:created>
  <dcterms:modified xsi:type="dcterms:W3CDTF">2020-04-23T15:16:00Z</dcterms:modified>
</cp:coreProperties>
</file>