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0C" w:rsidRPr="00E0270C" w:rsidRDefault="00E0270C" w:rsidP="00E0270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AAEEA84" wp14:editId="5367B5B3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E0270C" w:rsidRPr="00E0270C" w:rsidRDefault="00E0270C" w:rsidP="00E0270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E0270C" w:rsidRPr="00E0270C" w:rsidRDefault="00E0270C" w:rsidP="00E0270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E0270C" w:rsidRPr="00E0270C" w:rsidTr="007C3355">
        <w:trPr>
          <w:trHeight w:val="188"/>
        </w:trPr>
        <w:tc>
          <w:tcPr>
            <w:tcW w:w="3726" w:type="dxa"/>
            <w:hideMark/>
          </w:tcPr>
          <w:p w:rsidR="00E0270C" w:rsidRPr="00E0270C" w:rsidRDefault="0025729E" w:rsidP="00E0270C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25.05.2020</w:t>
            </w:r>
            <w:r w:rsidR="00E0270C" w:rsidRPr="00E0270C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   </w:t>
            </w:r>
          </w:p>
        </w:tc>
        <w:tc>
          <w:tcPr>
            <w:tcW w:w="2742" w:type="dxa"/>
            <w:gridSpan w:val="2"/>
            <w:hideMark/>
          </w:tcPr>
          <w:p w:rsidR="00E0270C" w:rsidRPr="00E0270C" w:rsidRDefault="00E0270C" w:rsidP="00E0270C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E0270C" w:rsidRPr="00E0270C" w:rsidRDefault="00E0270C" w:rsidP="007C5753">
            <w:pPr>
              <w:spacing w:after="200" w:line="276" w:lineRule="auto"/>
              <w:ind w:right="220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E027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25729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1506</w:t>
            </w:r>
            <w:bookmarkStart w:id="0" w:name="_GoBack"/>
            <w:bookmarkEnd w:id="0"/>
            <w:r w:rsidR="0025729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/2дп/15-20</w:t>
            </w:r>
          </w:p>
        </w:tc>
      </w:tr>
      <w:tr w:rsidR="00E0270C" w:rsidRPr="00E0270C" w:rsidTr="007C3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3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70C" w:rsidRPr="00E0270C" w:rsidRDefault="00E0270C" w:rsidP="000B2762">
            <w:pPr>
              <w:widowControl w:val="0"/>
              <w:spacing w:after="0" w:line="240" w:lineRule="auto"/>
              <w:ind w:right="-110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Про відмову у відкритті дисциплінарних справ за скаргами </w:t>
            </w:r>
            <w:proofErr w:type="spellStart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Ульшина</w:t>
            </w:r>
            <w:proofErr w:type="spellEnd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П.В., </w:t>
            </w:r>
            <w:proofErr w:type="spellStart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Ульшиної</w:t>
            </w:r>
            <w:proofErr w:type="spellEnd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Непомнящої</w:t>
            </w:r>
            <w:proofErr w:type="spellEnd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) К.С.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стосовно судді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</w:t>
            </w: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Х</w:t>
            </w:r>
            <w:r w:rsidR="009E7892" w:rsidRP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ерсонського міського суду </w:t>
            </w:r>
            <w:r w:rsid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Х</w:t>
            </w:r>
            <w:r w:rsidR="009E7892" w:rsidRP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ерсонської області </w:t>
            </w:r>
            <w:proofErr w:type="spellStart"/>
            <w:r w:rsid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М</w:t>
            </w:r>
            <w:r w:rsidR="009E7892" w:rsidRP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усулевського</w:t>
            </w:r>
            <w:proofErr w:type="spellEnd"/>
            <w:r w:rsid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 Я.А.</w:t>
            </w:r>
            <w:r w:rsidR="009E7892" w:rsidRP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П</w:t>
            </w:r>
            <w:r w:rsidR="009E7892" w:rsidRP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рохоренко</w:t>
            </w:r>
            <w:proofErr w:type="spellEnd"/>
            <w:r w:rsid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В.В.</w:t>
            </w:r>
            <w:r w:rsidR="009E7892" w:rsidRP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, </w:t>
            </w:r>
            <w:r w:rsid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Р</w:t>
            </w:r>
            <w:r w:rsidR="009E7892" w:rsidRP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адченко </w:t>
            </w:r>
            <w:r w:rsid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Г.А.</w:t>
            </w:r>
            <w:r w:rsidR="009E7892" w:rsidRP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,</w:t>
            </w:r>
            <w:r w:rsidR="000B276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r w:rsid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Ч</w:t>
            </w:r>
            <w:r w:rsidR="009E7892" w:rsidRP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ерниш </w:t>
            </w:r>
            <w:r w:rsidR="009E789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О.Л.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Сюрми</w:t>
            </w:r>
            <w:proofErr w:type="spellEnd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Ю.С.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Одеського апеляційного суду </w:t>
            </w:r>
            <w:proofErr w:type="spellStart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Котелевського</w:t>
            </w:r>
            <w:proofErr w:type="spellEnd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Р.І., </w:t>
            </w:r>
            <w:proofErr w:type="spellStart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Кадегроб</w:t>
            </w:r>
            <w:proofErr w:type="spellEnd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А.І., </w:t>
            </w:r>
            <w:proofErr w:type="spellStart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</w:t>
            </w:r>
            <w:r w:rsidR="00674C0B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і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б</w:t>
            </w:r>
            <w:r w:rsidR="00674C0B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и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лова</w:t>
            </w:r>
            <w:proofErr w:type="spellEnd"/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В.М.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адвоката </w:t>
            </w:r>
            <w:proofErr w:type="spellStart"/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Кір’якова</w:t>
            </w:r>
            <w:proofErr w:type="spellEnd"/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А.С.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</w:t>
            </w:r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Дніпровського</w:t>
            </w:r>
            <w:r w:rsidR="00F212A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районного суду міста Києва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Яровенко Н.О.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CF0E84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Умнова</w:t>
            </w:r>
            <w:proofErr w:type="spellEnd"/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М.Ю.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</w:t>
            </w:r>
            <w:r w:rsidR="000B276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Касаційного адміністративного суду у складі </w:t>
            </w:r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Верховного Суду Жука А.В.</w:t>
            </w:r>
          </w:p>
          <w:p w:rsidR="00E0270C" w:rsidRPr="00E0270C" w:rsidRDefault="00E0270C" w:rsidP="000B2762">
            <w:pPr>
              <w:spacing w:after="0" w:line="240" w:lineRule="auto"/>
              <w:ind w:right="-110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 w:rsidR="004D64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 w:rsidR="004D6498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головуючого –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Худика М.П.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членів Другої Дисциплінарної палати Вищої ради правосуддя Артеменка І.А., </w:t>
      </w:r>
      <w:proofErr w:type="spellStart"/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Блажівської</w:t>
      </w:r>
      <w:proofErr w:type="spellEnd"/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О.Є.,</w:t>
      </w:r>
      <w:r w:rsidR="00423D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Прудивуса О.В.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розглянувши висновки</w:t>
      </w:r>
      <w:r w:rsidR="00423D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E0270C" w:rsidRPr="003E1E01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E0270C" w:rsidRPr="00E0270C" w:rsidRDefault="00E0270C" w:rsidP="00794A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E0270C" w:rsidRPr="003E1E01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E0270C" w:rsidRPr="00E0270C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B3746E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746E">
        <w:rPr>
          <w:rFonts w:ascii="Times New Roman" w:eastAsia="Calibri" w:hAnsi="Times New Roman" w:cs="Times New Roman"/>
          <w:sz w:val="28"/>
          <w:szCs w:val="28"/>
          <w:lang w:eastAsia="ru-RU"/>
        </w:rPr>
        <w:t>липня</w:t>
      </w:r>
      <w:r w:rsidR="00F07C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201</w:t>
      </w:r>
      <w:r w:rsidR="00B3746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року до Вищої ради правосуддя за вхідним</w:t>
      </w:r>
      <w:r w:rsidR="00B374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6449/0/20-18, 6449/1/20-18, 6449/2/20-18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Ульшина</w:t>
      </w:r>
      <w:proofErr w:type="spellEnd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П.В.,                             </w:t>
      </w:r>
      <w:proofErr w:type="spellStart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Ульшиної</w:t>
      </w:r>
      <w:proofErr w:type="spellEnd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Непомнящої</w:t>
      </w:r>
      <w:proofErr w:type="spellEnd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) К.С. від 25 лютого та 4 серпня 2016 року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на дії судді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9833AE" w:rsidRPr="009833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B27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Херсонського міського суду Херсонської області </w:t>
      </w:r>
      <w:proofErr w:type="spellStart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Мусулевського</w:t>
      </w:r>
      <w:proofErr w:type="spellEnd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Я.А., </w:t>
      </w:r>
      <w:proofErr w:type="spellStart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Прохоренко</w:t>
      </w:r>
      <w:proofErr w:type="spellEnd"/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В.В., Радченко Г.А., Черниш О.Л. (</w:t>
      </w:r>
      <w:r w:rsidR="000B2762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на посадах суддів Комсомольського районного суду міста Херсона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0B27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667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8087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ами попередньої перевірки скарг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Грищуком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складено висновок від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квітня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про відсутність підстав для відкриття дисциплінарної справи, оскільки </w:t>
      </w:r>
      <w:r w:rsidR="004B7F49" w:rsidRPr="004B7F49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</w:t>
      </w:r>
      <w:r w:rsidR="00B510C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4B7F49" w:rsidRPr="004B7F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дисциплінарної відповідальності (пункт 2 частини першої статті 45 Закону України «Про Вищу раду правосуддя»).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квітня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року до Вищої ради правосуддя за вхідним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С-2202/0/7-20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proofErr w:type="spellStart"/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Сюрми</w:t>
      </w:r>
      <w:proofErr w:type="spellEnd"/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Ю.С.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на дії судді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Одеського 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апеляційного суду </w:t>
      </w:r>
      <w:proofErr w:type="spellStart"/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Котелевського</w:t>
      </w:r>
      <w:proofErr w:type="spellEnd"/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Р.І., </w:t>
      </w:r>
      <w:proofErr w:type="spellStart"/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Кадегроб</w:t>
      </w:r>
      <w:proofErr w:type="spellEnd"/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А.І., </w:t>
      </w:r>
      <w:proofErr w:type="spellStart"/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Прібилова</w:t>
      </w:r>
      <w:proofErr w:type="spellEnd"/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В.М.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497/1986/19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№ 1-кс/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497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102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BA6C0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17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BA6C0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квітня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</w:t>
      </w:r>
      <w:r w:rsidR="009A5FF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у поведінці суддів не вбачається ознак дисциплінарних проступків, а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до незгоди із судовим рішенням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(пункт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4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3. </w:t>
      </w:r>
      <w:r w:rsidR="00BF0328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2</w:t>
      </w:r>
      <w:r w:rsidR="005C2360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9A5FF1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квітня</w:t>
      </w:r>
      <w:r w:rsidR="005C2360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20</w:t>
      </w:r>
      <w:r w:rsidR="009A5FF1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року до Вищої ради правосуддя за вхідним</w:t>
      </w:r>
      <w:r w:rsidR="000172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К-</w:t>
      </w:r>
      <w:r w:rsidR="009A5F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2045/0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/7-</w:t>
      </w:r>
      <w:r w:rsidR="009A5F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адвоката </w:t>
      </w:r>
      <w:proofErr w:type="spellStart"/>
      <w:r w:rsidR="009A5F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Кір</w:t>
      </w:r>
      <w:r w:rsidR="009A5FF1" w:rsidRPr="009A5FF1">
        <w:rPr>
          <w:rFonts w:ascii="Times New Roman" w:eastAsia="Times New Roman" w:hAnsi="Times New Roman" w:cs="Calibri"/>
          <w:spacing w:val="6"/>
          <w:sz w:val="28"/>
          <w:szCs w:val="28"/>
          <w:lang w:eastAsia="ru-RU"/>
        </w:rPr>
        <w:t>’</w:t>
      </w:r>
      <w:r w:rsidR="009A5F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якова</w:t>
      </w:r>
      <w:proofErr w:type="spellEnd"/>
      <w:r w:rsidR="009A5F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А.С., який діє 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інтересах Коваленка О.І.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дії судді </w:t>
      </w:r>
      <w:r w:rsidR="009A5F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Дніпровського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районного суду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міста Києва 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</w:t>
      </w:r>
      <w:r w:rsidR="009A5F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Яровенко Н.О.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 час розгляду справи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55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10837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/1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="000706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(провадження 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0706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0706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/7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55</w:t>
      </w:r>
      <w:r w:rsidR="000706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867</w:t>
      </w:r>
      <w:r w:rsidR="000706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/20)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26031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BF032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</w:t>
      </w:r>
      <w:r w:rsidR="005D4F7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9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D4F7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квітня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</w:t>
      </w: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підстав для відкриття дисциплінарної справи, оскільки суть скарги зводиться </w:t>
      </w:r>
      <w:r w:rsidR="00F07CCB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E0270C" w:rsidRPr="008807F5" w:rsidRDefault="00676FAD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квітня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2263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/7-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</w:t>
      </w:r>
      <w:r w:rsidR="002E118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2E118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Умнова</w:t>
      </w:r>
      <w:proofErr w:type="spellEnd"/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М.Ю.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дії судді </w:t>
      </w:r>
      <w:r w:rsidR="000B27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Касаційного адміністративного суду у складі 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Верховного Суду Жука А.В.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9901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83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BF0328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  <w:lang w:eastAsia="ru-RU"/>
        </w:rPr>
      </w:pP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скарг</w:t>
      </w:r>
      <w:r w:rsidR="00D4293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 w:rsidR="00B02F14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Грищуком В.К.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складено висновок від 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квітня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у поведінці судді не вбачається ознак дисциплінарних проступків, а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02F14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лише до незгоди із судовим рішенням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 w:rsidR="00B02F14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086E48" w:rsidRPr="00E0270C" w:rsidRDefault="006D4724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7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пункту 2 частини першої статті 45 Закону України </w:t>
      </w:r>
      <w:r w:rsidRPr="006D472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пунктом 4 частини першої статті 45 Закону України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B3BEC" w:rsidRPr="003E1E01" w:rsidRDefault="007B3BE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0270C" w:rsidRPr="00E0270C" w:rsidRDefault="00E0270C" w:rsidP="00794AE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0270C" w:rsidRPr="003E1E01" w:rsidRDefault="00E0270C" w:rsidP="00794A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D4506" w:rsidRPr="00B50D8A" w:rsidRDefault="00E0270C" w:rsidP="00794AE6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23CC">
        <w:rPr>
          <w:rFonts w:ascii="Times New Roman" w:eastAsia="Calibri" w:hAnsi="Times New Roman" w:cs="Times New Roman"/>
          <w:sz w:val="28"/>
          <w:szCs w:val="28"/>
        </w:rPr>
        <w:t>Ульшина</w:t>
      </w:r>
      <w:proofErr w:type="spellEnd"/>
      <w:r w:rsidR="004F23CC">
        <w:rPr>
          <w:rFonts w:ascii="Times New Roman" w:eastAsia="Calibri" w:hAnsi="Times New Roman" w:cs="Times New Roman"/>
          <w:sz w:val="28"/>
          <w:szCs w:val="28"/>
        </w:rPr>
        <w:t xml:space="preserve"> Павла Валерійовича, </w:t>
      </w:r>
      <w:proofErr w:type="spellStart"/>
      <w:r w:rsidR="004F23CC">
        <w:rPr>
          <w:rFonts w:ascii="Times New Roman" w:eastAsia="Calibri" w:hAnsi="Times New Roman" w:cs="Times New Roman"/>
          <w:sz w:val="28"/>
          <w:szCs w:val="28"/>
        </w:rPr>
        <w:t>Ульшиної</w:t>
      </w:r>
      <w:proofErr w:type="spellEnd"/>
      <w:r w:rsidR="004F23C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="004F23CC">
        <w:rPr>
          <w:rFonts w:ascii="Times New Roman" w:eastAsia="Calibri" w:hAnsi="Times New Roman" w:cs="Times New Roman"/>
          <w:sz w:val="28"/>
          <w:szCs w:val="28"/>
        </w:rPr>
        <w:t>Непомнящої</w:t>
      </w:r>
      <w:proofErr w:type="spellEnd"/>
      <w:r w:rsidR="004F23CC">
        <w:rPr>
          <w:rFonts w:ascii="Times New Roman" w:eastAsia="Calibri" w:hAnsi="Times New Roman" w:cs="Times New Roman"/>
          <w:sz w:val="28"/>
          <w:szCs w:val="28"/>
        </w:rPr>
        <w:t>) Катерини Сергіївни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</w:t>
      </w:r>
      <w:r w:rsidR="004F23CC">
        <w:rPr>
          <w:rFonts w:ascii="Times New Roman" w:eastAsia="Calibri" w:hAnsi="Times New Roman" w:cs="Times New Roman"/>
          <w:sz w:val="28"/>
          <w:szCs w:val="28"/>
        </w:rPr>
        <w:t>в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23C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Херсонського міського суду Херсонської області </w:t>
      </w:r>
      <w:proofErr w:type="spellStart"/>
      <w:r w:rsidR="004F23CC">
        <w:rPr>
          <w:rFonts w:ascii="Times New Roman" w:eastAsia="Calibri" w:hAnsi="Times New Roman" w:cs="Times New Roman"/>
          <w:sz w:val="28"/>
          <w:szCs w:val="28"/>
        </w:rPr>
        <w:t>Мусулевського</w:t>
      </w:r>
      <w:proofErr w:type="spellEnd"/>
      <w:r w:rsidR="004F23CC">
        <w:rPr>
          <w:rFonts w:ascii="Times New Roman" w:eastAsia="Calibri" w:hAnsi="Times New Roman" w:cs="Times New Roman"/>
          <w:sz w:val="28"/>
          <w:szCs w:val="28"/>
        </w:rPr>
        <w:t xml:space="preserve"> Ярослава Андрійовича, </w:t>
      </w:r>
      <w:proofErr w:type="spellStart"/>
      <w:r w:rsidR="004F23CC">
        <w:rPr>
          <w:rFonts w:ascii="Times New Roman" w:eastAsia="Calibri" w:hAnsi="Times New Roman" w:cs="Times New Roman"/>
          <w:sz w:val="28"/>
          <w:szCs w:val="28"/>
        </w:rPr>
        <w:t>Прохоренко</w:t>
      </w:r>
      <w:proofErr w:type="spellEnd"/>
      <w:r w:rsidR="004F23CC">
        <w:rPr>
          <w:rFonts w:ascii="Times New Roman" w:eastAsia="Calibri" w:hAnsi="Times New Roman" w:cs="Times New Roman"/>
          <w:sz w:val="28"/>
          <w:szCs w:val="28"/>
        </w:rPr>
        <w:t xml:space="preserve"> Вікторії Володимирівни, Радченко Галини Анатоліївни, Черниш Оксани Леонідівни</w:t>
      </w:r>
      <w:r w:rsidR="001D4506" w:rsidRPr="00B50D8A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B50D8A" w:rsidRDefault="001D4506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0270C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Відмовити у відкритті дисциплінарної справи за скаргою </w:t>
      </w:r>
      <w:proofErr w:type="spellStart"/>
      <w:r w:rsidR="00BE0E38">
        <w:rPr>
          <w:rFonts w:ascii="Times New Roman" w:eastAsia="Calibri" w:hAnsi="Times New Roman" w:cs="Times New Roman"/>
          <w:sz w:val="28"/>
          <w:szCs w:val="28"/>
        </w:rPr>
        <w:t>Сюрьми</w:t>
      </w:r>
      <w:proofErr w:type="spellEnd"/>
      <w:r w:rsidR="00BE0E38">
        <w:rPr>
          <w:rFonts w:ascii="Times New Roman" w:eastAsia="Calibri" w:hAnsi="Times New Roman" w:cs="Times New Roman"/>
          <w:sz w:val="28"/>
          <w:szCs w:val="28"/>
        </w:rPr>
        <w:t xml:space="preserve"> Юрія Семеновича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</w:t>
      </w:r>
      <w:r w:rsidR="00BE0E38">
        <w:rPr>
          <w:rFonts w:ascii="Times New Roman" w:eastAsia="Calibri" w:hAnsi="Times New Roman" w:cs="Times New Roman"/>
          <w:sz w:val="28"/>
          <w:szCs w:val="28"/>
        </w:rPr>
        <w:t>в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0E38">
        <w:rPr>
          <w:rFonts w:ascii="Times New Roman" w:eastAsia="Calibri" w:hAnsi="Times New Roman" w:cs="Times New Roman"/>
          <w:sz w:val="28"/>
          <w:szCs w:val="28"/>
        </w:rPr>
        <w:t>Одеського апеляційного суду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E84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proofErr w:type="spellStart"/>
      <w:r w:rsidR="00BE0E38">
        <w:rPr>
          <w:rFonts w:ascii="Times New Roman" w:eastAsia="Calibri" w:hAnsi="Times New Roman" w:cs="Times New Roman"/>
          <w:sz w:val="28"/>
          <w:szCs w:val="28"/>
        </w:rPr>
        <w:t>Котелевського</w:t>
      </w:r>
      <w:proofErr w:type="spellEnd"/>
      <w:r w:rsidR="00BE0E38">
        <w:rPr>
          <w:rFonts w:ascii="Times New Roman" w:eastAsia="Calibri" w:hAnsi="Times New Roman" w:cs="Times New Roman"/>
          <w:sz w:val="28"/>
          <w:szCs w:val="28"/>
        </w:rPr>
        <w:t xml:space="preserve"> Руслана Івановича, </w:t>
      </w:r>
      <w:proofErr w:type="spellStart"/>
      <w:r w:rsidR="00BE0E38">
        <w:rPr>
          <w:rFonts w:ascii="Times New Roman" w:eastAsia="Calibri" w:hAnsi="Times New Roman" w:cs="Times New Roman"/>
          <w:sz w:val="28"/>
          <w:szCs w:val="28"/>
        </w:rPr>
        <w:t>Кадегроб</w:t>
      </w:r>
      <w:proofErr w:type="spellEnd"/>
      <w:r w:rsidR="00BE0E38">
        <w:rPr>
          <w:rFonts w:ascii="Times New Roman" w:eastAsia="Calibri" w:hAnsi="Times New Roman" w:cs="Times New Roman"/>
          <w:sz w:val="28"/>
          <w:szCs w:val="28"/>
        </w:rPr>
        <w:t xml:space="preserve"> Альбіни Іванівни, </w:t>
      </w:r>
      <w:r w:rsidR="00CF0E84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proofErr w:type="spellStart"/>
      <w:r w:rsidR="00BE0E38">
        <w:rPr>
          <w:rFonts w:ascii="Times New Roman" w:eastAsia="Calibri" w:hAnsi="Times New Roman" w:cs="Times New Roman"/>
          <w:sz w:val="28"/>
          <w:szCs w:val="28"/>
        </w:rPr>
        <w:t>Прібилова</w:t>
      </w:r>
      <w:proofErr w:type="spellEnd"/>
      <w:r w:rsidR="00BE0E38">
        <w:rPr>
          <w:rFonts w:ascii="Times New Roman" w:eastAsia="Calibri" w:hAnsi="Times New Roman" w:cs="Times New Roman"/>
          <w:sz w:val="28"/>
          <w:szCs w:val="28"/>
        </w:rPr>
        <w:t xml:space="preserve"> Вадима Михайловича</w:t>
      </w:r>
      <w:r w:rsidR="00B50D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4506" w:rsidRDefault="001D4506" w:rsidP="00794AE6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 w:rsidR="00215B7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C0E8E">
        <w:rPr>
          <w:rFonts w:ascii="Times New Roman" w:eastAsia="Calibri" w:hAnsi="Times New Roman" w:cs="Times New Roman"/>
          <w:sz w:val="28"/>
          <w:szCs w:val="28"/>
        </w:rPr>
        <w:t xml:space="preserve">адвоката </w:t>
      </w:r>
      <w:proofErr w:type="spellStart"/>
      <w:r w:rsidR="00BE0E38">
        <w:rPr>
          <w:rFonts w:ascii="Times New Roman" w:eastAsia="Calibri" w:hAnsi="Times New Roman" w:cs="Times New Roman"/>
          <w:sz w:val="28"/>
          <w:szCs w:val="28"/>
        </w:rPr>
        <w:t>Кір’якова</w:t>
      </w:r>
      <w:proofErr w:type="spellEnd"/>
      <w:r w:rsidR="00BE0E38">
        <w:rPr>
          <w:rFonts w:ascii="Times New Roman" w:eastAsia="Calibri" w:hAnsi="Times New Roman" w:cs="Times New Roman"/>
          <w:sz w:val="28"/>
          <w:szCs w:val="28"/>
        </w:rPr>
        <w:t xml:space="preserve"> Артура Сергійовича</w:t>
      </w:r>
      <w:r w:rsidR="00215B74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BE0E38">
        <w:rPr>
          <w:rFonts w:ascii="Times New Roman" w:eastAsia="Calibri" w:hAnsi="Times New Roman" w:cs="Times New Roman"/>
          <w:sz w:val="28"/>
          <w:szCs w:val="28"/>
        </w:rPr>
        <w:t>Дніпровського</w:t>
      </w:r>
      <w:r w:rsidR="005C0E8E">
        <w:rPr>
          <w:rFonts w:ascii="Times New Roman" w:eastAsia="Calibri" w:hAnsi="Times New Roman" w:cs="Times New Roman"/>
          <w:sz w:val="28"/>
          <w:szCs w:val="28"/>
        </w:rPr>
        <w:t xml:space="preserve"> районного суду</w:t>
      </w:r>
      <w:r w:rsidR="00215B74" w:rsidRPr="00B50D8A">
        <w:rPr>
          <w:rFonts w:ascii="Times New Roman" w:eastAsia="Calibri" w:hAnsi="Times New Roman" w:cs="Times New Roman"/>
          <w:sz w:val="28"/>
          <w:szCs w:val="28"/>
        </w:rPr>
        <w:t xml:space="preserve"> міста Києва </w:t>
      </w:r>
      <w:r w:rsidR="00BE0E38">
        <w:rPr>
          <w:rFonts w:ascii="Times New Roman" w:eastAsia="Calibri" w:hAnsi="Times New Roman" w:cs="Times New Roman"/>
          <w:sz w:val="28"/>
          <w:szCs w:val="28"/>
        </w:rPr>
        <w:t>Яровенко Наталії</w:t>
      </w:r>
      <w:r w:rsidR="00B510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0E38">
        <w:rPr>
          <w:rFonts w:ascii="Times New Roman" w:eastAsia="Calibri" w:hAnsi="Times New Roman" w:cs="Times New Roman"/>
          <w:sz w:val="28"/>
          <w:szCs w:val="28"/>
        </w:rPr>
        <w:t>Олегівни</w:t>
      </w:r>
      <w:r w:rsidRPr="005F5BDC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BE686E" w:rsidRPr="005C0E8E" w:rsidRDefault="001D4506" w:rsidP="00794AE6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  <w:highlight w:val="red"/>
        </w:rPr>
      </w:pPr>
      <w:r w:rsidRPr="00794A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B510CB">
        <w:rPr>
          <w:rFonts w:ascii="Times New Roman" w:eastAsia="Calibri" w:hAnsi="Times New Roman" w:cs="Times New Roman"/>
          <w:sz w:val="28"/>
          <w:szCs w:val="28"/>
        </w:rPr>
        <w:t>Умнова</w:t>
      </w:r>
      <w:proofErr w:type="spellEnd"/>
      <w:r w:rsidR="00B510CB">
        <w:rPr>
          <w:rFonts w:ascii="Times New Roman" w:eastAsia="Calibri" w:hAnsi="Times New Roman" w:cs="Times New Roman"/>
          <w:sz w:val="28"/>
          <w:szCs w:val="28"/>
        </w:rPr>
        <w:t xml:space="preserve"> Михайла Юрійовича</w:t>
      </w:r>
      <w:r w:rsidR="005F5BDC" w:rsidRPr="00794AE6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0B2762">
        <w:rPr>
          <w:rFonts w:ascii="Times New Roman" w:eastAsia="Calibri" w:hAnsi="Times New Roman" w:cs="Times New Roman"/>
          <w:sz w:val="28"/>
          <w:szCs w:val="28"/>
        </w:rPr>
        <w:t xml:space="preserve">Касаційного адміністративного суду у складі </w:t>
      </w:r>
      <w:r w:rsidR="00B510CB">
        <w:rPr>
          <w:rFonts w:ascii="Times New Roman" w:eastAsia="Calibri" w:hAnsi="Times New Roman" w:cs="Times New Roman"/>
          <w:sz w:val="28"/>
          <w:szCs w:val="28"/>
        </w:rPr>
        <w:t>Верховного Суду Жука Андрія Володимировича</w:t>
      </w:r>
      <w:r w:rsidR="00BE686E" w:rsidRPr="00794AE6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E0270C" w:rsidRPr="00E0270C" w:rsidRDefault="0001721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B50D8A" w:rsidRDefault="00B50D8A" w:rsidP="00794AE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3190" w:rsidRPr="00B50D8A" w:rsidRDefault="00E43190" w:rsidP="00794AE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70C" w:rsidRPr="00E0270C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E0270C" w:rsidRPr="00E0270C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E0270C" w:rsidRPr="00E0270C" w:rsidRDefault="00E0270C" w:rsidP="00794AE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E878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М.П. Худик</w:t>
      </w:r>
    </w:p>
    <w:p w:rsidR="00E0270C" w:rsidRPr="00C47CB6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Pr="00E0270C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E0270C" w:rsidRPr="00E0270C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І.А. Артеменко</w:t>
      </w:r>
    </w:p>
    <w:p w:rsidR="00E0270C" w:rsidRPr="00C47CB6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О.Є. Блажівська</w:t>
      </w:r>
    </w:p>
    <w:p w:rsidR="00E0270C" w:rsidRPr="00C47CB6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02CD" w:rsidRPr="00696382" w:rsidRDefault="005C0E8E" w:rsidP="00217A08">
      <w:pPr>
        <w:spacing w:after="0" w:line="276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sectPr w:rsidR="006002CD" w:rsidRPr="00696382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6C9" w:rsidRDefault="003736C9">
      <w:pPr>
        <w:spacing w:after="0" w:line="240" w:lineRule="auto"/>
      </w:pPr>
      <w:r>
        <w:separator/>
      </w:r>
    </w:p>
  </w:endnote>
  <w:endnote w:type="continuationSeparator" w:id="0">
    <w:p w:rsidR="003736C9" w:rsidRDefault="00373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6C9" w:rsidRDefault="003736C9">
      <w:pPr>
        <w:spacing w:after="0" w:line="240" w:lineRule="auto"/>
      </w:pPr>
      <w:r>
        <w:separator/>
      </w:r>
    </w:p>
  </w:footnote>
  <w:footnote w:type="continuationSeparator" w:id="0">
    <w:p w:rsidR="003736C9" w:rsidRDefault="00373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4D649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7C5753">
      <w:rPr>
        <w:rFonts w:ascii="Times New Roman" w:hAnsi="Times New Roman" w:cs="Times New Roman"/>
        <w:noProof/>
        <w:sz w:val="24"/>
        <w:szCs w:val="24"/>
      </w:rPr>
      <w:t>3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3736C9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0C"/>
    <w:rsid w:val="0000151E"/>
    <w:rsid w:val="0001721C"/>
    <w:rsid w:val="00044BFE"/>
    <w:rsid w:val="00054271"/>
    <w:rsid w:val="000706D6"/>
    <w:rsid w:val="000812F7"/>
    <w:rsid w:val="000821D4"/>
    <w:rsid w:val="00086E48"/>
    <w:rsid w:val="000B1C40"/>
    <w:rsid w:val="000B2762"/>
    <w:rsid w:val="000C1DC2"/>
    <w:rsid w:val="000F75BE"/>
    <w:rsid w:val="00121ECF"/>
    <w:rsid w:val="00134D38"/>
    <w:rsid w:val="00146E36"/>
    <w:rsid w:val="001566B1"/>
    <w:rsid w:val="001A37C4"/>
    <w:rsid w:val="001B7364"/>
    <w:rsid w:val="001D4506"/>
    <w:rsid w:val="001E4E6D"/>
    <w:rsid w:val="00215B74"/>
    <w:rsid w:val="00217A08"/>
    <w:rsid w:val="00242D5D"/>
    <w:rsid w:val="002530AC"/>
    <w:rsid w:val="00254901"/>
    <w:rsid w:val="0025729E"/>
    <w:rsid w:val="0026031F"/>
    <w:rsid w:val="00277DB3"/>
    <w:rsid w:val="002B3671"/>
    <w:rsid w:val="002B3767"/>
    <w:rsid w:val="002D3EC6"/>
    <w:rsid w:val="002E1187"/>
    <w:rsid w:val="003277A0"/>
    <w:rsid w:val="00342821"/>
    <w:rsid w:val="003736C9"/>
    <w:rsid w:val="00391D17"/>
    <w:rsid w:val="003D0516"/>
    <w:rsid w:val="003E1E01"/>
    <w:rsid w:val="003F1540"/>
    <w:rsid w:val="00423D68"/>
    <w:rsid w:val="0047402D"/>
    <w:rsid w:val="004B7F49"/>
    <w:rsid w:val="004D6498"/>
    <w:rsid w:val="004F23CC"/>
    <w:rsid w:val="00525668"/>
    <w:rsid w:val="0055172B"/>
    <w:rsid w:val="005614D7"/>
    <w:rsid w:val="005C0E8E"/>
    <w:rsid w:val="005C2360"/>
    <w:rsid w:val="005D4F76"/>
    <w:rsid w:val="005E5512"/>
    <w:rsid w:val="005F4914"/>
    <w:rsid w:val="005F5BDC"/>
    <w:rsid w:val="006002CD"/>
    <w:rsid w:val="00602AC0"/>
    <w:rsid w:val="00605506"/>
    <w:rsid w:val="006069C3"/>
    <w:rsid w:val="00625030"/>
    <w:rsid w:val="006529D5"/>
    <w:rsid w:val="00674C0B"/>
    <w:rsid w:val="00675BFE"/>
    <w:rsid w:val="00676FAD"/>
    <w:rsid w:val="00694B84"/>
    <w:rsid w:val="006A23CC"/>
    <w:rsid w:val="006D4724"/>
    <w:rsid w:val="006F0320"/>
    <w:rsid w:val="007135B0"/>
    <w:rsid w:val="00772770"/>
    <w:rsid w:val="00786AA9"/>
    <w:rsid w:val="00794AE6"/>
    <w:rsid w:val="007B3BEC"/>
    <w:rsid w:val="007C572D"/>
    <w:rsid w:val="007C5753"/>
    <w:rsid w:val="007E5426"/>
    <w:rsid w:val="008807F5"/>
    <w:rsid w:val="00896543"/>
    <w:rsid w:val="008C6AF5"/>
    <w:rsid w:val="00913D28"/>
    <w:rsid w:val="009471BF"/>
    <w:rsid w:val="00950415"/>
    <w:rsid w:val="00954AA4"/>
    <w:rsid w:val="00971DD7"/>
    <w:rsid w:val="009833AE"/>
    <w:rsid w:val="009A5FF1"/>
    <w:rsid w:val="009C4882"/>
    <w:rsid w:val="009E7892"/>
    <w:rsid w:val="00A03287"/>
    <w:rsid w:val="00A66C1C"/>
    <w:rsid w:val="00A71ECD"/>
    <w:rsid w:val="00A81FC1"/>
    <w:rsid w:val="00A91809"/>
    <w:rsid w:val="00AE34FC"/>
    <w:rsid w:val="00AF0407"/>
    <w:rsid w:val="00B02F14"/>
    <w:rsid w:val="00B26544"/>
    <w:rsid w:val="00B3746E"/>
    <w:rsid w:val="00B50D8A"/>
    <w:rsid w:val="00B510CB"/>
    <w:rsid w:val="00B51BFC"/>
    <w:rsid w:val="00B66FFE"/>
    <w:rsid w:val="00BA6C08"/>
    <w:rsid w:val="00BE0E38"/>
    <w:rsid w:val="00BE686E"/>
    <w:rsid w:val="00BF0328"/>
    <w:rsid w:val="00C330FE"/>
    <w:rsid w:val="00C47CB6"/>
    <w:rsid w:val="00C563A7"/>
    <w:rsid w:val="00C733A9"/>
    <w:rsid w:val="00C76E2D"/>
    <w:rsid w:val="00C97CE1"/>
    <w:rsid w:val="00CA3CA6"/>
    <w:rsid w:val="00CA49F2"/>
    <w:rsid w:val="00CA7895"/>
    <w:rsid w:val="00CD2495"/>
    <w:rsid w:val="00CF0E84"/>
    <w:rsid w:val="00D01150"/>
    <w:rsid w:val="00D32937"/>
    <w:rsid w:val="00D4293C"/>
    <w:rsid w:val="00D83AF2"/>
    <w:rsid w:val="00E0270C"/>
    <w:rsid w:val="00E16EEF"/>
    <w:rsid w:val="00E43190"/>
    <w:rsid w:val="00E82888"/>
    <w:rsid w:val="00E87857"/>
    <w:rsid w:val="00EA6152"/>
    <w:rsid w:val="00F07CCB"/>
    <w:rsid w:val="00F212A3"/>
    <w:rsid w:val="00F25FFD"/>
    <w:rsid w:val="00F802E1"/>
    <w:rsid w:val="00F9464C"/>
    <w:rsid w:val="00FD58AF"/>
    <w:rsid w:val="00FE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A89CB-48E3-4DC7-9547-23731F8A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7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0270C"/>
  </w:style>
  <w:style w:type="paragraph" w:styleId="a5">
    <w:name w:val="Normal (Web)"/>
    <w:basedOn w:val="a"/>
    <w:uiPriority w:val="99"/>
    <w:semiHidden/>
    <w:unhideWhenUsed/>
    <w:rsid w:val="001D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1D450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00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002C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172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17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3687</Words>
  <Characters>2102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Володимир Мина (HCJ-MONO0215 - v.myna)</cp:lastModifiedBy>
  <cp:revision>4</cp:revision>
  <cp:lastPrinted>2020-05-26T06:34:00Z</cp:lastPrinted>
  <dcterms:created xsi:type="dcterms:W3CDTF">2020-05-27T06:27:00Z</dcterms:created>
  <dcterms:modified xsi:type="dcterms:W3CDTF">2020-05-27T06:31:00Z</dcterms:modified>
</cp:coreProperties>
</file>