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C21" w:rsidRDefault="00833C2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833C21" w:rsidRDefault="00F20FCC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833C21" w:rsidRDefault="00F20FC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833C21" w:rsidRDefault="00F20FC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ДРУГА ДИСЦИПЛІНАРНА ПАЛАТА</w:t>
      </w:r>
    </w:p>
    <w:p w:rsidR="00833C21" w:rsidRDefault="00F20FCC">
      <w:pPr>
        <w:pStyle w:val="ab"/>
        <w:spacing w:after="240"/>
        <w:ind w:left="0"/>
        <w:jc w:val="center"/>
        <w:rPr>
          <w:rFonts w:ascii="AcademyC" w:hAnsi="AcademyC"/>
          <w:b/>
          <w:lang w:val="ru-RU"/>
        </w:rPr>
      </w:pPr>
      <w:r>
        <w:rPr>
          <w:rFonts w:ascii="AcademyC" w:hAnsi="AcademyC"/>
          <w:b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33C21">
        <w:trPr>
          <w:trHeight w:val="188"/>
        </w:trPr>
        <w:tc>
          <w:tcPr>
            <w:tcW w:w="3098" w:type="dxa"/>
            <w:shd w:val="clear" w:color="auto" w:fill="auto"/>
          </w:tcPr>
          <w:p w:rsidR="00833C21" w:rsidRPr="005B5BE3" w:rsidRDefault="00F20FCC">
            <w:pPr>
              <w:ind w:right="-2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B5BE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25 </w:t>
            </w:r>
            <w:r w:rsidRPr="005B5BE3">
              <w:rPr>
                <w:rFonts w:ascii="Times New Roman" w:hAnsi="Times New Roman"/>
                <w:b/>
                <w:sz w:val="28"/>
                <w:szCs w:val="28"/>
              </w:rPr>
              <w:t>травня</w:t>
            </w:r>
            <w:r w:rsidRPr="005B5BE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2020 року</w:t>
            </w:r>
          </w:p>
        </w:tc>
        <w:tc>
          <w:tcPr>
            <w:tcW w:w="3309" w:type="dxa"/>
            <w:shd w:val="clear" w:color="auto" w:fill="auto"/>
          </w:tcPr>
          <w:p w:rsidR="00833C21" w:rsidRDefault="00F20FCC">
            <w:pPr>
              <w:ind w:right="-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lang w:val="ru-RU"/>
              </w:rPr>
              <w:t>Київ</w:t>
            </w:r>
            <w:proofErr w:type="spellEnd"/>
          </w:p>
        </w:tc>
        <w:tc>
          <w:tcPr>
            <w:tcW w:w="3624" w:type="dxa"/>
            <w:shd w:val="clear" w:color="auto" w:fill="auto"/>
          </w:tcPr>
          <w:p w:rsidR="00833C21" w:rsidRPr="005B5BE3" w:rsidRDefault="00F20FCC" w:rsidP="005B5BE3">
            <w:pPr>
              <w:ind w:right="-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lang w:val="en-US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B5BE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№ </w:t>
            </w:r>
            <w:r w:rsidR="005B5BE3" w:rsidRPr="005B5BE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1511/2дп/15-20</w:t>
            </w:r>
          </w:p>
        </w:tc>
      </w:tr>
    </w:tbl>
    <w:p w:rsidR="00833C21" w:rsidRDefault="00833C21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lang w:val="uk-UA" w:eastAsia="uk-UA"/>
        </w:rPr>
      </w:pPr>
      <w:bookmarkStart w:id="0" w:name="_GoBack"/>
      <w:bookmarkEnd w:id="0"/>
    </w:p>
    <w:p w:rsidR="00833C21" w:rsidRDefault="00F20FCC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lang w:val="uk-UA" w:eastAsia="uk-UA"/>
        </w:rPr>
      </w:pPr>
      <w:r>
        <w:rPr>
          <w:rStyle w:val="FontStyle15"/>
          <w:sz w:val="24"/>
          <w:szCs w:val="24"/>
          <w:lang w:val="uk-UA" w:eastAsia="uk-UA"/>
        </w:rPr>
        <w:t xml:space="preserve">Про відмову у задоволенні заяви члена Другої Дисциплінарної палати Вищої ради правосуддя </w:t>
      </w:r>
      <w:proofErr w:type="spellStart"/>
      <w:r>
        <w:rPr>
          <w:rStyle w:val="FontStyle15"/>
          <w:sz w:val="24"/>
          <w:szCs w:val="24"/>
          <w:lang w:val="uk-UA" w:eastAsia="uk-UA"/>
        </w:rPr>
        <w:t>Блажівської</w:t>
      </w:r>
      <w:proofErr w:type="spellEnd"/>
      <w:r>
        <w:rPr>
          <w:rStyle w:val="FontStyle15"/>
          <w:sz w:val="24"/>
          <w:szCs w:val="24"/>
          <w:lang w:val="uk-UA" w:eastAsia="uk-UA"/>
        </w:rPr>
        <w:t xml:space="preserve"> О.Є. про самовідвід</w:t>
      </w:r>
    </w:p>
    <w:p w:rsidR="00833C21" w:rsidRDefault="00833C21">
      <w:pPr>
        <w:pStyle w:val="Style3"/>
        <w:widowControl/>
        <w:spacing w:line="274" w:lineRule="exact"/>
        <w:ind w:right="4960"/>
        <w:jc w:val="both"/>
        <w:rPr>
          <w:rStyle w:val="FontStyle15"/>
          <w:sz w:val="24"/>
          <w:szCs w:val="24"/>
        </w:rPr>
      </w:pPr>
    </w:p>
    <w:p w:rsidR="00833C21" w:rsidRDefault="00F20FCC">
      <w:pPr>
        <w:pStyle w:val="Style4"/>
        <w:widowControl/>
        <w:spacing w:line="240" w:lineRule="auto"/>
        <w:ind w:right="36"/>
      </w:pPr>
      <w:r>
        <w:rPr>
          <w:color w:val="000000"/>
          <w:sz w:val="28"/>
          <w:szCs w:val="28"/>
          <w:lang w:val="uk-UA"/>
        </w:rPr>
        <w:t xml:space="preserve">Друга Дисциплінарна палата Вищої ради правосуддя у складі     головуючого – </w:t>
      </w:r>
      <w:proofErr w:type="spellStart"/>
      <w:r>
        <w:rPr>
          <w:color w:val="000000"/>
          <w:sz w:val="28"/>
          <w:szCs w:val="28"/>
          <w:lang w:val="uk-UA"/>
        </w:rPr>
        <w:t>Худика</w:t>
      </w:r>
      <w:proofErr w:type="spellEnd"/>
      <w:r>
        <w:rPr>
          <w:color w:val="000000"/>
          <w:sz w:val="28"/>
          <w:szCs w:val="28"/>
          <w:lang w:val="uk-UA"/>
        </w:rPr>
        <w:t xml:space="preserve"> М.П., членів Артеменка І.А., Грищука В.К.,                       Прудивуса О.В., розглянувши заяву члена Другої Дисциплінарної палати Вищої ради правосуддя </w:t>
      </w:r>
      <w:proofErr w:type="spellStart"/>
      <w:r>
        <w:rPr>
          <w:color w:val="000000"/>
          <w:sz w:val="28"/>
          <w:szCs w:val="28"/>
          <w:lang w:val="uk-UA"/>
        </w:rPr>
        <w:t>Блажівської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Оксани Євгенівни про самовідвід, </w:t>
      </w:r>
    </w:p>
    <w:p w:rsidR="00833C21" w:rsidRDefault="00833C21">
      <w:pPr>
        <w:pStyle w:val="Style4"/>
        <w:widowControl/>
        <w:spacing w:line="240" w:lineRule="auto"/>
        <w:ind w:right="36"/>
        <w:rPr>
          <w:rStyle w:val="FontStyle16"/>
          <w:sz w:val="28"/>
          <w:szCs w:val="28"/>
          <w:lang w:val="uk-UA" w:eastAsia="uk-UA"/>
        </w:rPr>
      </w:pPr>
    </w:p>
    <w:p w:rsidR="00833C21" w:rsidRDefault="00F20FCC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/>
        </w:rPr>
      </w:pPr>
      <w:r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833C21" w:rsidRDefault="00833C21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</w:p>
    <w:p w:rsidR="00833C21" w:rsidRDefault="00F20FCC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14 лютого 2020 року до Вищої ради правосуддя надійшла дисциплінарна скарга </w:t>
      </w:r>
      <w:proofErr w:type="spellStart"/>
      <w:r>
        <w:rPr>
          <w:rFonts w:ascii="Times New Roman" w:hAnsi="Times New Roman"/>
          <w:sz w:val="28"/>
          <w:szCs w:val="28"/>
        </w:rPr>
        <w:t>Маселка</w:t>
      </w:r>
      <w:proofErr w:type="spellEnd"/>
      <w:r>
        <w:rPr>
          <w:rFonts w:ascii="Times New Roman" w:hAnsi="Times New Roman"/>
          <w:sz w:val="28"/>
          <w:szCs w:val="28"/>
        </w:rPr>
        <w:t xml:space="preserve"> Р.А. стосовно судді Касаційного адміністративного суду у складі Верховного Суду </w:t>
      </w:r>
      <w:proofErr w:type="spellStart"/>
      <w:r>
        <w:rPr>
          <w:rFonts w:ascii="Times New Roman" w:hAnsi="Times New Roman"/>
          <w:sz w:val="28"/>
          <w:szCs w:val="28"/>
        </w:rPr>
        <w:t>Смоковича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М.І. (</w:t>
      </w:r>
      <w:proofErr w:type="spellStart"/>
      <w:r>
        <w:rPr>
          <w:rFonts w:ascii="Times New Roman" w:hAnsi="Times New Roman"/>
          <w:sz w:val="28"/>
          <w:szCs w:val="28"/>
        </w:rPr>
        <w:t>вх</w:t>
      </w:r>
      <w:proofErr w:type="spellEnd"/>
      <w:r>
        <w:rPr>
          <w:rFonts w:ascii="Times New Roman" w:hAnsi="Times New Roman"/>
          <w:sz w:val="28"/>
          <w:szCs w:val="28"/>
        </w:rPr>
        <w:t xml:space="preserve">. № М-146/22/7-20). Відповідно до протоколу автоматизованого розподілу справи між членами Вищої ради правосуддя </w:t>
      </w:r>
      <w:r w:rsidRPr="00407CF7">
        <w:rPr>
          <w:rFonts w:ascii="Times New Roman" w:hAnsi="Times New Roman"/>
          <w:sz w:val="28"/>
          <w:szCs w:val="28"/>
        </w:rPr>
        <w:t>14 лютого 2020 року</w:t>
      </w:r>
      <w:r>
        <w:rPr>
          <w:rFonts w:ascii="Times New Roman" w:hAnsi="Times New Roman"/>
          <w:sz w:val="28"/>
          <w:szCs w:val="28"/>
        </w:rPr>
        <w:t xml:space="preserve"> вказану скаргу для проведення попередньої перевірки передано члену Другої Дисциплінарної палати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Блажівській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О.Є. (доповідач).</w:t>
      </w:r>
    </w:p>
    <w:p w:rsidR="00833C21" w:rsidRDefault="00F20FCC">
      <w:pPr>
        <w:spacing w:after="0" w:line="240" w:lineRule="auto"/>
        <w:ind w:firstLine="708"/>
        <w:jc w:val="both"/>
      </w:pPr>
      <w:r>
        <w:rPr>
          <w:rStyle w:val="FontStyle20"/>
          <w:b w:val="0"/>
          <w:sz w:val="28"/>
          <w:szCs w:val="28"/>
          <w:lang w:eastAsia="uk-UA"/>
        </w:rPr>
        <w:t xml:space="preserve">25 травня 2020 року член Другої Дисциплінарної палати Вищої ради правосуддя </w:t>
      </w:r>
      <w:proofErr w:type="spellStart"/>
      <w:r>
        <w:rPr>
          <w:rStyle w:val="FontStyle20"/>
          <w:b w:val="0"/>
          <w:sz w:val="28"/>
          <w:szCs w:val="28"/>
          <w:lang w:eastAsia="uk-UA"/>
        </w:rPr>
        <w:t>Блажівська</w:t>
      </w:r>
      <w:proofErr w:type="spellEnd"/>
      <w:r>
        <w:rPr>
          <w:rStyle w:val="FontStyle20"/>
          <w:b w:val="0"/>
          <w:sz w:val="28"/>
          <w:szCs w:val="28"/>
          <w:lang w:eastAsia="uk-UA"/>
        </w:rPr>
        <w:t xml:space="preserve"> О.Є. звернулася до Другої Дисциплінарної палати Вищої ради правосуддя із заявою про самовідвід від розгляду зазначеної дисциплінарної скарги. Вказана заява обґрунтована тим, що </w:t>
      </w:r>
      <w:proofErr w:type="spellStart"/>
      <w:r>
        <w:rPr>
          <w:rStyle w:val="FontStyle20"/>
          <w:b w:val="0"/>
          <w:sz w:val="28"/>
          <w:szCs w:val="28"/>
          <w:lang w:eastAsia="uk-UA"/>
        </w:rPr>
        <w:t>Маселко</w:t>
      </w:r>
      <w:proofErr w:type="spellEnd"/>
      <w:r>
        <w:rPr>
          <w:rStyle w:val="FontStyle20"/>
          <w:b w:val="0"/>
          <w:sz w:val="28"/>
          <w:szCs w:val="28"/>
          <w:lang w:eastAsia="uk-UA"/>
        </w:rPr>
        <w:t xml:space="preserve"> Р.А. неодноразово висловлював у засобах масової інформації та соціальних мережах власні міркування щодо розгляду його дисциплінарної скарги стосовно судді </w:t>
      </w:r>
      <w:proofErr w:type="spellStart"/>
      <w:r>
        <w:rPr>
          <w:rStyle w:val="FontStyle20"/>
          <w:b w:val="0"/>
          <w:sz w:val="28"/>
          <w:szCs w:val="28"/>
          <w:lang w:eastAsia="uk-UA"/>
        </w:rPr>
        <w:t>Смоковича</w:t>
      </w:r>
      <w:proofErr w:type="spellEnd"/>
      <w:r>
        <w:rPr>
          <w:rStyle w:val="FontStyle20"/>
          <w:b w:val="0"/>
          <w:sz w:val="28"/>
          <w:szCs w:val="28"/>
          <w:lang w:eastAsia="uk-UA"/>
        </w:rPr>
        <w:t xml:space="preserve"> М.І., а також безпосередньо про члена Вищої ради правосуддя </w:t>
      </w:r>
      <w:proofErr w:type="spellStart"/>
      <w:r>
        <w:rPr>
          <w:rStyle w:val="FontStyle20"/>
          <w:b w:val="0"/>
          <w:sz w:val="28"/>
          <w:szCs w:val="28"/>
          <w:lang w:eastAsia="uk-UA"/>
        </w:rPr>
        <w:t>Блажівську</w:t>
      </w:r>
      <w:proofErr w:type="spellEnd"/>
      <w:r>
        <w:rPr>
          <w:rStyle w:val="FontStyle20"/>
          <w:b w:val="0"/>
          <w:sz w:val="28"/>
          <w:szCs w:val="28"/>
          <w:lang w:eastAsia="uk-UA"/>
        </w:rPr>
        <w:t xml:space="preserve"> О.Є. та її родичів, а також тим, що </w:t>
      </w:r>
      <w:proofErr w:type="spellStart"/>
      <w:r>
        <w:rPr>
          <w:rStyle w:val="FontStyle20"/>
          <w:b w:val="0"/>
          <w:sz w:val="28"/>
          <w:szCs w:val="28"/>
          <w:lang w:eastAsia="uk-UA"/>
        </w:rPr>
        <w:t>Маселком</w:t>
      </w:r>
      <w:proofErr w:type="spellEnd"/>
      <w:r>
        <w:rPr>
          <w:rStyle w:val="FontStyle20"/>
          <w:b w:val="0"/>
          <w:sz w:val="28"/>
          <w:szCs w:val="28"/>
          <w:lang w:eastAsia="uk-UA"/>
        </w:rPr>
        <w:t xml:space="preserve"> Р.А. була подана заява про відвід її від участі у розгляді зазначеної скарги</w:t>
      </w:r>
      <w:r>
        <w:rPr>
          <w:rFonts w:ascii="Times New Roman" w:hAnsi="Times New Roman"/>
          <w:sz w:val="28"/>
          <w:szCs w:val="28"/>
        </w:rPr>
        <w:t>.</w:t>
      </w:r>
    </w:p>
    <w:p w:rsidR="00833C21" w:rsidRDefault="00F73F5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Н</w:t>
      </w:r>
      <w:r w:rsidR="00F20FCC">
        <w:rPr>
          <w:rFonts w:ascii="Times New Roman" w:hAnsi="Times New Roman"/>
          <w:sz w:val="28"/>
          <w:szCs w:val="28"/>
        </w:rPr>
        <w:t xml:space="preserve">а думку члена Другої Дисциплінарної палати Вищої ради правосуддя </w:t>
      </w:r>
      <w:proofErr w:type="spellStart"/>
      <w:r w:rsidR="00F20FCC">
        <w:rPr>
          <w:rFonts w:ascii="Times New Roman" w:hAnsi="Times New Roman"/>
          <w:sz w:val="28"/>
          <w:szCs w:val="28"/>
        </w:rPr>
        <w:t>Блажівської</w:t>
      </w:r>
      <w:proofErr w:type="spellEnd"/>
      <w:r w:rsidR="00F20FCC">
        <w:rPr>
          <w:rFonts w:ascii="Times New Roman" w:hAnsi="Times New Roman"/>
          <w:sz w:val="28"/>
          <w:szCs w:val="28"/>
        </w:rPr>
        <w:t xml:space="preserve"> О.Є., зазначен</w:t>
      </w:r>
      <w:r w:rsidR="00BD6213">
        <w:rPr>
          <w:rFonts w:ascii="Times New Roman" w:hAnsi="Times New Roman"/>
          <w:sz w:val="28"/>
          <w:szCs w:val="28"/>
        </w:rPr>
        <w:t>і</w:t>
      </w:r>
      <w:r w:rsidR="00F20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висловлювання </w:t>
      </w:r>
      <w:proofErr w:type="spellStart"/>
      <w:r>
        <w:rPr>
          <w:rFonts w:ascii="Times New Roman" w:hAnsi="Times New Roman"/>
          <w:sz w:val="28"/>
          <w:szCs w:val="28"/>
        </w:rPr>
        <w:t>Маселка</w:t>
      </w:r>
      <w:proofErr w:type="spellEnd"/>
      <w:r>
        <w:rPr>
          <w:rFonts w:ascii="Times New Roman" w:hAnsi="Times New Roman"/>
          <w:sz w:val="28"/>
          <w:szCs w:val="28"/>
        </w:rPr>
        <w:t xml:space="preserve"> Р.А. </w:t>
      </w:r>
      <w:r w:rsidR="00F77E1A">
        <w:rPr>
          <w:rFonts w:ascii="Times New Roman" w:hAnsi="Times New Roman"/>
          <w:sz w:val="28"/>
          <w:szCs w:val="28"/>
        </w:rPr>
        <w:t xml:space="preserve">та заявлення ним відводу </w:t>
      </w:r>
      <w:r>
        <w:rPr>
          <w:rFonts w:ascii="Times New Roman" w:hAnsi="Times New Roman"/>
          <w:sz w:val="28"/>
          <w:szCs w:val="28"/>
        </w:rPr>
        <w:t>не впливають на її об’єктивність під час здійснення попередньої перевірки дисциплінарної скарги, однак можуть сформувати в інших осіб уявлення про її заінтересованість у р</w:t>
      </w:r>
      <w:r w:rsidR="00F77E1A">
        <w:rPr>
          <w:rFonts w:ascii="Times New Roman" w:hAnsi="Times New Roman"/>
          <w:sz w:val="28"/>
          <w:szCs w:val="28"/>
        </w:rPr>
        <w:t xml:space="preserve">езультаті розгляду цієї скарги. </w:t>
      </w:r>
      <w:r>
        <w:rPr>
          <w:rFonts w:ascii="Times New Roman" w:hAnsi="Times New Roman"/>
          <w:sz w:val="28"/>
          <w:szCs w:val="28"/>
        </w:rPr>
        <w:t xml:space="preserve">а подання заяви про відвід </w:t>
      </w:r>
      <w:r w:rsidR="00F20FCC">
        <w:rPr>
          <w:rFonts w:ascii="Times New Roman" w:hAnsi="Times New Roman"/>
          <w:sz w:val="28"/>
          <w:szCs w:val="28"/>
        </w:rPr>
        <w:t xml:space="preserve">дозволяє припустити, що будь-яке рішення, прийняте за результатами попередньої перевірки </w:t>
      </w:r>
      <w:r w:rsidR="00BD6213">
        <w:rPr>
          <w:rFonts w:ascii="Times New Roman" w:hAnsi="Times New Roman"/>
          <w:sz w:val="28"/>
          <w:szCs w:val="28"/>
        </w:rPr>
        <w:t xml:space="preserve">дисциплінарної </w:t>
      </w:r>
      <w:r w:rsidR="00F20FCC">
        <w:rPr>
          <w:rFonts w:ascii="Times New Roman" w:hAnsi="Times New Roman"/>
          <w:sz w:val="28"/>
          <w:szCs w:val="28"/>
        </w:rPr>
        <w:t xml:space="preserve">скарги стосовно судді </w:t>
      </w:r>
      <w:proofErr w:type="spellStart"/>
      <w:r w:rsidR="00F20FCC">
        <w:rPr>
          <w:rFonts w:ascii="Times New Roman" w:hAnsi="Times New Roman"/>
          <w:sz w:val="28"/>
          <w:szCs w:val="28"/>
        </w:rPr>
        <w:t>Смоковича</w:t>
      </w:r>
      <w:proofErr w:type="spellEnd"/>
      <w:r w:rsidR="00F20FCC">
        <w:rPr>
          <w:rFonts w:ascii="Times New Roman" w:hAnsi="Times New Roman"/>
          <w:sz w:val="28"/>
          <w:szCs w:val="28"/>
        </w:rPr>
        <w:t xml:space="preserve"> М.І., може бути оцінене як необґрунтоване та викликати у стороннього спостерігача сумніви щодо</w:t>
      </w:r>
      <w:r w:rsidR="008C2629">
        <w:rPr>
          <w:rFonts w:ascii="Times New Roman" w:hAnsi="Times New Roman"/>
          <w:sz w:val="28"/>
          <w:szCs w:val="28"/>
        </w:rPr>
        <w:t xml:space="preserve"> її</w:t>
      </w:r>
      <w:r w:rsidR="00F20FCC">
        <w:rPr>
          <w:rFonts w:ascii="Times New Roman" w:hAnsi="Times New Roman"/>
          <w:sz w:val="28"/>
          <w:szCs w:val="28"/>
        </w:rPr>
        <w:t xml:space="preserve"> неупередженості.</w:t>
      </w:r>
    </w:p>
    <w:p w:rsidR="00833C21" w:rsidRDefault="00F20FC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Під час розгляду заяви члена </w:t>
      </w:r>
      <w:r>
        <w:rPr>
          <w:rFonts w:ascii="Times New Roman" w:hAnsi="Times New Roman"/>
          <w:bCs/>
          <w:sz w:val="28"/>
          <w:szCs w:val="28"/>
        </w:rPr>
        <w:t xml:space="preserve">Другої Дисциплінарної палати Вищої ради правосуддя </w:t>
      </w:r>
      <w:proofErr w:type="spellStart"/>
      <w:r>
        <w:rPr>
          <w:rFonts w:ascii="Times New Roman" w:hAnsi="Times New Roman"/>
          <w:bCs/>
          <w:sz w:val="28"/>
          <w:szCs w:val="28"/>
        </w:rPr>
        <w:t>Блажівської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О.Є. Друга Дисциплінарна палата Вищої ради правосуддя бере до уваги таке.</w:t>
      </w:r>
    </w:p>
    <w:p w:rsidR="00833C21" w:rsidRDefault="00F20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Частиною п’ятою статті 20 Закону України «Про Вищу раду правосуддя» встановлено, що член Вищої ради правосуддя зобов’язаний відмовитися від участі у розгляді питання, зокрема, 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 або за наявності обставин, що викликають сумнів у його неупередженості.</w:t>
      </w:r>
    </w:p>
    <w:p w:rsidR="00833C21" w:rsidRDefault="00F20FCC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Згідно із частинами першою, четвертою статті 33 цього Закону член Вищої ради правосуддя не може брати участі в розгляді питання і підлягає відводу, якщо, зокрема будуть встановлені інші обставини, що викликають сумнів у його неупередженості. 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833C21" w:rsidRDefault="00F20FCC">
      <w:pPr>
        <w:spacing w:after="0" w:line="240" w:lineRule="auto"/>
        <w:ind w:firstLine="708"/>
        <w:jc w:val="both"/>
      </w:pPr>
      <w:r>
        <w:rPr>
          <w:rStyle w:val="FontStyle20"/>
          <w:b w:val="0"/>
          <w:bCs w:val="0"/>
          <w:sz w:val="28"/>
          <w:szCs w:val="28"/>
          <w:lang w:eastAsia="uk-UA"/>
        </w:rPr>
        <w:t xml:space="preserve">Другою Дисциплінарною палатою Вищої ради правосуддя не встановлено, що член Другої Дисциплінарної палати Вищої ради правосуддя </w:t>
      </w:r>
      <w:proofErr w:type="spellStart"/>
      <w:r>
        <w:rPr>
          <w:rStyle w:val="FontStyle20"/>
          <w:b w:val="0"/>
          <w:bCs w:val="0"/>
          <w:sz w:val="28"/>
          <w:szCs w:val="28"/>
          <w:lang w:eastAsia="uk-UA"/>
        </w:rPr>
        <w:t>Блажівська</w:t>
      </w:r>
      <w:proofErr w:type="spellEnd"/>
      <w:r>
        <w:rPr>
          <w:rStyle w:val="FontStyle20"/>
          <w:b w:val="0"/>
          <w:bCs w:val="0"/>
          <w:sz w:val="28"/>
          <w:szCs w:val="28"/>
          <w:lang w:eastAsia="uk-UA"/>
        </w:rPr>
        <w:t xml:space="preserve"> О.Є. особисто, прямо чи побічно заінтересована в результаті попередньої перевірки </w:t>
      </w:r>
      <w:r w:rsidR="00880EC8">
        <w:rPr>
          <w:rStyle w:val="FontStyle20"/>
          <w:b w:val="0"/>
          <w:bCs w:val="0"/>
          <w:sz w:val="28"/>
          <w:szCs w:val="28"/>
          <w:lang w:eastAsia="uk-UA"/>
        </w:rPr>
        <w:t xml:space="preserve">дисциплінарної </w:t>
      </w:r>
      <w:r>
        <w:rPr>
          <w:rStyle w:val="FontStyle20"/>
          <w:b w:val="0"/>
          <w:bCs w:val="0"/>
          <w:sz w:val="28"/>
          <w:szCs w:val="28"/>
          <w:lang w:eastAsia="uk-UA"/>
        </w:rPr>
        <w:t>скарги або інших обставин, що викликають сумнів у її неупередженості під час розгляду скарги.</w:t>
      </w:r>
    </w:p>
    <w:p w:rsidR="00833C21" w:rsidRDefault="00F20FCC">
      <w:pPr>
        <w:spacing w:after="0" w:line="240" w:lineRule="auto"/>
        <w:ind w:firstLine="708"/>
        <w:jc w:val="both"/>
      </w:pPr>
      <w:r>
        <w:rPr>
          <w:rStyle w:val="FontStyle20"/>
          <w:b w:val="0"/>
          <w:bCs w:val="0"/>
          <w:sz w:val="28"/>
          <w:szCs w:val="28"/>
          <w:lang w:eastAsia="uk-UA"/>
        </w:rPr>
        <w:t>Враховуючи наведене, керуючись статтями 33, 34 Закону України «Про Вищу раду правосуддя», главою 7 Регламенту Вищої ради правосуддя, Друга Дисциплінарна палата Вищої ради правосуддя</w:t>
      </w:r>
    </w:p>
    <w:p w:rsidR="00833C21" w:rsidRDefault="00833C21">
      <w:pPr>
        <w:spacing w:after="0" w:line="240" w:lineRule="auto"/>
        <w:ind w:firstLine="708"/>
        <w:jc w:val="both"/>
        <w:rPr>
          <w:rStyle w:val="FontStyle20"/>
          <w:sz w:val="28"/>
          <w:szCs w:val="28"/>
          <w:lang w:eastAsia="uk-UA"/>
        </w:rPr>
      </w:pPr>
    </w:p>
    <w:p w:rsidR="00833C21" w:rsidRDefault="00F20FCC">
      <w:pPr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ухвалила:</w:t>
      </w:r>
    </w:p>
    <w:p w:rsidR="00833C21" w:rsidRDefault="00833C2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33C21" w:rsidRDefault="00F20FCC">
      <w:pPr>
        <w:spacing w:after="0" w:line="240" w:lineRule="auto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відмовити у </w:t>
      </w:r>
      <w:r>
        <w:rPr>
          <w:rFonts w:ascii="Times New Roman" w:hAnsi="Times New Roman"/>
          <w:sz w:val="28"/>
          <w:szCs w:val="28"/>
        </w:rPr>
        <w:t xml:space="preserve">задоволені заяви члена Другої Дисциплінарної палати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Блажівської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Оксани Євгенівни про самовідвід від розгляду дисциплінарної скарги </w:t>
      </w:r>
      <w:proofErr w:type="spellStart"/>
      <w:r>
        <w:rPr>
          <w:rFonts w:ascii="Times New Roman" w:hAnsi="Times New Roman"/>
          <w:sz w:val="28"/>
          <w:szCs w:val="28"/>
        </w:rPr>
        <w:t>Маселка</w:t>
      </w:r>
      <w:proofErr w:type="spellEnd"/>
      <w:r>
        <w:rPr>
          <w:rFonts w:ascii="Times New Roman" w:hAnsi="Times New Roman"/>
          <w:sz w:val="28"/>
          <w:szCs w:val="28"/>
        </w:rPr>
        <w:t xml:space="preserve"> Р.А. стосовно судді Касаційного адміністративного суду у складі Верховного Суду </w:t>
      </w:r>
      <w:proofErr w:type="spellStart"/>
      <w:r>
        <w:rPr>
          <w:rFonts w:ascii="Times New Roman" w:hAnsi="Times New Roman"/>
          <w:sz w:val="28"/>
          <w:szCs w:val="28"/>
        </w:rPr>
        <w:t>Смоковича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Михайла Івановича. </w:t>
      </w:r>
    </w:p>
    <w:p w:rsidR="00833C21" w:rsidRDefault="00833C2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33C21" w:rsidRDefault="00F20F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833C21" w:rsidRDefault="00F20F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Другої Дисциплінарної палати </w:t>
      </w:r>
    </w:p>
    <w:p w:rsidR="00833C21" w:rsidRDefault="00F20F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Вищої ради правосуддя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М.П. </w:t>
      </w:r>
      <w:proofErr w:type="spellStart"/>
      <w:r>
        <w:rPr>
          <w:rFonts w:ascii="Times New Roman" w:hAnsi="Times New Roman"/>
          <w:b/>
          <w:sz w:val="28"/>
          <w:szCs w:val="28"/>
        </w:rPr>
        <w:t>Худик</w:t>
      </w:r>
      <w:proofErr w:type="spellEnd"/>
    </w:p>
    <w:p w:rsidR="00833C21" w:rsidRDefault="00833C2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33C21" w:rsidRDefault="00F20F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</w:p>
    <w:p w:rsidR="00833C21" w:rsidRDefault="00F20FCC">
      <w:pPr>
        <w:tabs>
          <w:tab w:val="left" w:pos="78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палати Вищої ради правосуддя                                            І.А. Артеменко </w:t>
      </w:r>
    </w:p>
    <w:p w:rsidR="00833C21" w:rsidRDefault="00F20FCC">
      <w:pPr>
        <w:tabs>
          <w:tab w:val="left" w:pos="78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</w:t>
      </w:r>
    </w:p>
    <w:p w:rsidR="00833C21" w:rsidRDefault="00833C21">
      <w:pPr>
        <w:tabs>
          <w:tab w:val="left" w:pos="78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33C21" w:rsidRDefault="00F20FCC">
      <w:pPr>
        <w:tabs>
          <w:tab w:val="left" w:pos="78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В.К. Грищук</w:t>
      </w:r>
    </w:p>
    <w:p w:rsidR="00833C21" w:rsidRDefault="00833C21">
      <w:pPr>
        <w:tabs>
          <w:tab w:val="left" w:pos="78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33C21" w:rsidRDefault="00833C21">
      <w:pPr>
        <w:tabs>
          <w:tab w:val="left" w:pos="781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33C21" w:rsidRDefault="00F20FCC" w:rsidP="00407CF7">
      <w:pPr>
        <w:tabs>
          <w:tab w:val="left" w:pos="7813"/>
        </w:tabs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О.В. Прудивус         </w:t>
      </w:r>
    </w:p>
    <w:sectPr w:rsidR="00833C21" w:rsidSect="00E93CE3">
      <w:pgSz w:w="11906" w:h="16838"/>
      <w:pgMar w:top="850" w:right="850" w:bottom="56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21"/>
    <w:rsid w:val="00115AFB"/>
    <w:rsid w:val="00407CF7"/>
    <w:rsid w:val="005B5BE3"/>
    <w:rsid w:val="00833C21"/>
    <w:rsid w:val="00880EC8"/>
    <w:rsid w:val="008C2629"/>
    <w:rsid w:val="00A574FF"/>
    <w:rsid w:val="00BD6213"/>
    <w:rsid w:val="00E93CE3"/>
    <w:rsid w:val="00F20FCC"/>
    <w:rsid w:val="00F73F5A"/>
    <w:rsid w:val="00F7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1496"/>
  <w15:docId w15:val="{56643159-0423-4315-BF42-4AF60780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383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basedOn w:val="a0"/>
    <w:uiPriority w:val="34"/>
    <w:qFormat/>
    <w:locked/>
    <w:rsid w:val="0086238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5">
    <w:name w:val="Font Style15"/>
    <w:basedOn w:val="a0"/>
    <w:uiPriority w:val="99"/>
    <w:qFormat/>
    <w:rsid w:val="0086238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qFormat/>
    <w:rsid w:val="00862383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qFormat/>
    <w:rsid w:val="00862383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20">
    <w:name w:val="Font Style20"/>
    <w:basedOn w:val="a0"/>
    <w:uiPriority w:val="99"/>
    <w:qFormat/>
    <w:rsid w:val="00862383"/>
    <w:rPr>
      <w:rFonts w:ascii="Times New Roman" w:hAnsi="Times New Roman" w:cs="Times New Roman"/>
      <w:b/>
      <w:bCs/>
      <w:sz w:val="26"/>
      <w:szCs w:val="26"/>
    </w:rPr>
  </w:style>
  <w:style w:type="character" w:styleId="a4">
    <w:name w:val="Strong"/>
    <w:basedOn w:val="a0"/>
    <w:uiPriority w:val="22"/>
    <w:qFormat/>
    <w:rsid w:val="00862383"/>
    <w:rPr>
      <w:b/>
      <w:bCs/>
    </w:rPr>
  </w:style>
  <w:style w:type="character" w:customStyle="1" w:styleId="a5">
    <w:name w:val="Текст у виносці Знак"/>
    <w:basedOn w:val="a0"/>
    <w:uiPriority w:val="99"/>
    <w:semiHidden/>
    <w:qFormat/>
    <w:rsid w:val="00326BBC"/>
    <w:rPr>
      <w:rFonts w:ascii="Segoe UI" w:eastAsia="Calibri" w:hAnsi="Segoe UI" w:cs="Segoe UI"/>
      <w:sz w:val="18"/>
      <w:szCs w:val="18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ohit Devanagari"/>
    </w:rPr>
  </w:style>
  <w:style w:type="paragraph" w:styleId="ab">
    <w:name w:val="List Paragraph"/>
    <w:basedOn w:val="a"/>
    <w:uiPriority w:val="34"/>
    <w:qFormat/>
    <w:rsid w:val="008623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3">
    <w:name w:val="Style3"/>
    <w:basedOn w:val="a"/>
    <w:uiPriority w:val="99"/>
    <w:qFormat/>
    <w:rsid w:val="00862383"/>
    <w:pPr>
      <w:widowControl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qFormat/>
    <w:rsid w:val="00862383"/>
    <w:pPr>
      <w:widowControl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qFormat/>
    <w:rsid w:val="00862383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Balloon Text"/>
    <w:basedOn w:val="a"/>
    <w:uiPriority w:val="99"/>
    <w:semiHidden/>
    <w:unhideWhenUsed/>
    <w:qFormat/>
    <w:rsid w:val="00326BBC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3071</Words>
  <Characters>1751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dc:description/>
  <cp:lastModifiedBy>Ганна Осіпова (VRU-GAMEMAX07 - g.osipova)</cp:lastModifiedBy>
  <cp:revision>8</cp:revision>
  <cp:lastPrinted>2020-05-26T19:25:00Z</cp:lastPrinted>
  <dcterms:created xsi:type="dcterms:W3CDTF">2020-05-26T16:01:00Z</dcterms:created>
  <dcterms:modified xsi:type="dcterms:W3CDTF">2020-05-28T13:18:00Z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