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64D" w:rsidRPr="007B08EA" w:rsidRDefault="00FC764D" w:rsidP="00FC764D">
      <w:pPr>
        <w:contextualSpacing/>
        <w:jc w:val="both"/>
        <w:rPr>
          <w:color w:val="000000"/>
          <w:szCs w:val="28"/>
        </w:rPr>
      </w:pPr>
      <w:r w:rsidRPr="007B08E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D15D78F" wp14:editId="69FB4EA1">
            <wp:simplePos x="0" y="0"/>
            <wp:positionH relativeFrom="column">
              <wp:align>center</wp:align>
            </wp:positionH>
            <wp:positionV relativeFrom="paragraph">
              <wp:posOffset>-191770</wp:posOffset>
            </wp:positionV>
            <wp:extent cx="527050" cy="6883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64D" w:rsidRPr="007B08EA" w:rsidRDefault="00FC764D" w:rsidP="00FC764D">
      <w:pPr>
        <w:spacing w:before="360" w:after="60" w:line="240" w:lineRule="auto"/>
        <w:jc w:val="center"/>
        <w:rPr>
          <w:rFonts w:ascii="AcademyC" w:hAnsi="AcademyC"/>
          <w:b/>
          <w:color w:val="002060"/>
          <w:szCs w:val="28"/>
        </w:rPr>
      </w:pPr>
    </w:p>
    <w:p w:rsidR="00FC764D" w:rsidRPr="007B08EA" w:rsidRDefault="00FC764D" w:rsidP="00FC764D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FC764D" w:rsidRPr="007B08EA" w:rsidRDefault="00FC764D" w:rsidP="00FC764D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  <w:lang w:eastAsia="ru-RU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ВИЩА  РАДА  ПРАВОСУДДЯ</w:t>
      </w:r>
    </w:p>
    <w:p w:rsidR="00FC764D" w:rsidRPr="007B08EA" w:rsidRDefault="00FC764D" w:rsidP="00FC764D">
      <w:pPr>
        <w:spacing w:after="24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C764D" w:rsidRPr="007B08EA" w:rsidTr="00094F14">
        <w:trPr>
          <w:trHeight w:val="188"/>
        </w:trPr>
        <w:tc>
          <w:tcPr>
            <w:tcW w:w="3098" w:type="dxa"/>
            <w:hideMark/>
          </w:tcPr>
          <w:p w:rsidR="00FC764D" w:rsidRPr="007B08EA" w:rsidRDefault="00FC764D" w:rsidP="00094F14">
            <w:pPr>
              <w:spacing w:after="120" w:line="20" w:lineRule="atLeast"/>
              <w:rPr>
                <w:noProof/>
                <w:color w:val="002060"/>
                <w:sz w:val="24"/>
                <w:szCs w:val="24"/>
              </w:rPr>
            </w:pPr>
            <w:r>
              <w:rPr>
                <w:noProof/>
                <w:color w:val="002060"/>
                <w:sz w:val="24"/>
                <w:szCs w:val="24"/>
              </w:rPr>
              <w:t>28</w:t>
            </w:r>
            <w:r w:rsidRPr="007B08EA">
              <w:rPr>
                <w:noProof/>
                <w:color w:val="002060"/>
                <w:sz w:val="24"/>
                <w:szCs w:val="24"/>
              </w:rPr>
              <w:t> травня 2020 року</w:t>
            </w:r>
          </w:p>
        </w:tc>
        <w:tc>
          <w:tcPr>
            <w:tcW w:w="3309" w:type="dxa"/>
            <w:hideMark/>
          </w:tcPr>
          <w:p w:rsidR="00FC764D" w:rsidRPr="007B08EA" w:rsidRDefault="00FC764D" w:rsidP="00094F14">
            <w:pPr>
              <w:spacing w:after="120" w:line="20" w:lineRule="atLeast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624" w:type="dxa"/>
            <w:hideMark/>
          </w:tcPr>
          <w:p w:rsidR="00FC764D" w:rsidRPr="007B08EA" w:rsidRDefault="00FC764D" w:rsidP="00FC764D">
            <w:pPr>
              <w:spacing w:after="120" w:line="20" w:lineRule="atLeast"/>
              <w:ind w:right="-2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noProof/>
                <w:color w:val="002060"/>
                <w:sz w:val="24"/>
                <w:szCs w:val="24"/>
              </w:rPr>
              <w:t xml:space="preserve">        № 1</w:t>
            </w:r>
            <w:r>
              <w:rPr>
                <w:noProof/>
                <w:color w:val="002060"/>
                <w:sz w:val="24"/>
                <w:szCs w:val="24"/>
              </w:rPr>
              <w:t>607</w:t>
            </w:r>
            <w:r w:rsidRPr="007B08EA">
              <w:rPr>
                <w:noProof/>
                <w:color w:val="002060"/>
                <w:sz w:val="24"/>
                <w:szCs w:val="24"/>
              </w:rPr>
              <w:t>/0/15-20</w:t>
            </w:r>
          </w:p>
        </w:tc>
      </w:tr>
    </w:tbl>
    <w:tbl>
      <w:tblPr>
        <w:tblpPr w:leftFromText="180" w:rightFromText="180" w:vertAnchor="text" w:horzAnchor="margin" w:tblpY="131"/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961"/>
      </w:tblGrid>
      <w:tr w:rsidR="00F26F8E" w:rsidRPr="00F26F8E" w:rsidTr="00B979EA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8EA" w:rsidRPr="00F26F8E" w:rsidRDefault="007B08EA" w:rsidP="0027019D">
            <w:pPr>
              <w:spacing w:line="240" w:lineRule="auto"/>
              <w:rPr>
                <w:b/>
                <w:sz w:val="24"/>
                <w:szCs w:val="24"/>
              </w:rPr>
            </w:pPr>
            <w:bookmarkStart w:id="0" w:name="OLE_LINK46"/>
            <w:bookmarkStart w:id="1" w:name="OLE_LINK47"/>
            <w:bookmarkEnd w:id="0"/>
            <w:bookmarkEnd w:id="1"/>
          </w:p>
          <w:p w:rsidR="007B08EA" w:rsidRPr="00F26F8E" w:rsidRDefault="007B08EA" w:rsidP="0027019D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702E42" w:rsidRPr="00F26F8E" w:rsidRDefault="0027019D" w:rsidP="0027019D">
            <w:pPr>
              <w:spacing w:line="240" w:lineRule="auto"/>
              <w:rPr>
                <w:b/>
                <w:sz w:val="24"/>
                <w:szCs w:val="24"/>
              </w:rPr>
            </w:pPr>
            <w:r w:rsidRPr="00F26F8E">
              <w:rPr>
                <w:b/>
                <w:sz w:val="24"/>
                <w:szCs w:val="24"/>
              </w:rPr>
              <w:t xml:space="preserve">Про внесення змін до </w:t>
            </w:r>
            <w:r w:rsidR="00242EB5" w:rsidRPr="00F26F8E">
              <w:rPr>
                <w:b/>
                <w:sz w:val="24"/>
                <w:szCs w:val="24"/>
              </w:rPr>
              <w:t>структури секретаріату Вищої ради правосуддя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19D" w:rsidRPr="00F26F8E" w:rsidRDefault="0027019D" w:rsidP="00B979EA">
            <w:pPr>
              <w:pStyle w:val="a4"/>
              <w:rPr>
                <w:b/>
                <w:i/>
                <w:sz w:val="24"/>
                <w:szCs w:val="24"/>
              </w:rPr>
            </w:pPr>
          </w:p>
        </w:tc>
      </w:tr>
    </w:tbl>
    <w:p w:rsidR="00242EB5" w:rsidRPr="00F26F8E" w:rsidRDefault="00242EB5" w:rsidP="00266A93">
      <w:pPr>
        <w:spacing w:after="0" w:line="240" w:lineRule="auto"/>
        <w:ind w:firstLine="708"/>
        <w:jc w:val="both"/>
        <w:rPr>
          <w:rFonts w:cs="Times New Roman"/>
          <w:szCs w:val="28"/>
          <w:lang w:eastAsia="uk-UA"/>
        </w:rPr>
      </w:pPr>
    </w:p>
    <w:p w:rsidR="00242EB5" w:rsidRPr="00B67FC3" w:rsidRDefault="00242EB5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B67FC3">
        <w:rPr>
          <w:sz w:val="28"/>
          <w:szCs w:val="28"/>
        </w:rPr>
        <w:t>Відповідно до статті 27 Закону України «Про Вищу раду правосуддя» організаційне, інформаційно-довідкове та інше забезпечення діяльності Вищої ради правосуддя та її органів здійснює секретаріат, структуру і штатну чисельність якого затверджує Вища рада правосуддя. Для забезпечення здійснення членами Вищої ради правосуддя своїх повноважень у складі секретаріату Вищої ради правосуддя діє служба інспекторів. Гранична чисельність працівників секретаріату, в тому числі інспекторів Вищої ради правосуддя, затверджується Вищою радою правосуддя.</w:t>
      </w:r>
    </w:p>
    <w:p w:rsidR="00242EB5" w:rsidRPr="00B67FC3" w:rsidRDefault="00242EB5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B67FC3">
        <w:rPr>
          <w:sz w:val="28"/>
          <w:szCs w:val="28"/>
        </w:rPr>
        <w:t>Вища рада правосуддя рішенням від 23 березня 2017 року № 576/0/15-17 затвердила структуру секретаріату Вищої ради правосуддя.</w:t>
      </w:r>
      <w:r w:rsidR="00AA446B" w:rsidRPr="00B67FC3">
        <w:rPr>
          <w:sz w:val="28"/>
          <w:szCs w:val="28"/>
        </w:rPr>
        <w:t xml:space="preserve"> Рішенням від</w:t>
      </w:r>
      <w:r w:rsidR="004F786D">
        <w:rPr>
          <w:sz w:val="28"/>
          <w:szCs w:val="28"/>
        </w:rPr>
        <w:t xml:space="preserve">                       </w:t>
      </w:r>
      <w:r w:rsidR="00AA446B" w:rsidRPr="00B67FC3">
        <w:rPr>
          <w:sz w:val="28"/>
          <w:szCs w:val="28"/>
        </w:rPr>
        <w:t xml:space="preserve"> 25 лютого 2020 року № 594/0/15-20 затверджено зміни до структури секретаріату Вищої ради правосуддя.</w:t>
      </w:r>
    </w:p>
    <w:p w:rsidR="00AA446B" w:rsidRPr="00B67FC3" w:rsidRDefault="00AA446B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B67FC3">
        <w:rPr>
          <w:sz w:val="28"/>
          <w:szCs w:val="28"/>
        </w:rPr>
        <w:t xml:space="preserve">5 травня 2020 року </w:t>
      </w:r>
      <w:r w:rsidR="00EE676D" w:rsidRPr="00B67FC3">
        <w:rPr>
          <w:sz w:val="28"/>
          <w:szCs w:val="28"/>
        </w:rPr>
        <w:t>набрало</w:t>
      </w:r>
      <w:r w:rsidRPr="00B67FC3">
        <w:rPr>
          <w:sz w:val="28"/>
          <w:szCs w:val="28"/>
        </w:rPr>
        <w:t xml:space="preserve"> чинності Типове положення про уповноважений підрозділ (уповноважену особу) з питань запобігання та виявлення корупції</w:t>
      </w:r>
      <w:r w:rsidR="00F728A3" w:rsidRPr="00B67FC3">
        <w:rPr>
          <w:sz w:val="28"/>
          <w:szCs w:val="28"/>
        </w:rPr>
        <w:t xml:space="preserve"> (далі – Типове положення)</w:t>
      </w:r>
      <w:r w:rsidRPr="00B67FC3">
        <w:rPr>
          <w:sz w:val="28"/>
          <w:szCs w:val="28"/>
        </w:rPr>
        <w:t>, затверджене наказом Національного агентства з питань запобігання корупції від 17 березня 2020 року № 102/20, зареєстрован</w:t>
      </w:r>
      <w:r w:rsidR="004F786D">
        <w:rPr>
          <w:sz w:val="28"/>
          <w:szCs w:val="28"/>
        </w:rPr>
        <w:t>им</w:t>
      </w:r>
      <w:r w:rsidRPr="00B67FC3">
        <w:rPr>
          <w:sz w:val="28"/>
          <w:szCs w:val="28"/>
        </w:rPr>
        <w:t xml:space="preserve"> у Міністерстві юстиції України 21 квітня 2020 року за № 361/34644.</w:t>
      </w:r>
    </w:p>
    <w:p w:rsidR="00F728A3" w:rsidRPr="00B67FC3" w:rsidRDefault="00AA446B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B67FC3">
        <w:rPr>
          <w:sz w:val="28"/>
          <w:szCs w:val="28"/>
        </w:rPr>
        <w:t xml:space="preserve">Також 5 травня 2020 року </w:t>
      </w:r>
      <w:r w:rsidR="00EE676D" w:rsidRPr="00B67FC3">
        <w:rPr>
          <w:sz w:val="28"/>
          <w:szCs w:val="28"/>
        </w:rPr>
        <w:t>набрали</w:t>
      </w:r>
      <w:r w:rsidRPr="00B67FC3">
        <w:rPr>
          <w:sz w:val="28"/>
          <w:szCs w:val="28"/>
        </w:rPr>
        <w:t xml:space="preserve"> чинності </w:t>
      </w:r>
      <w:r w:rsidR="00EE676D" w:rsidRPr="00B67FC3">
        <w:rPr>
          <w:sz w:val="28"/>
          <w:szCs w:val="28"/>
        </w:rPr>
        <w:t>о</w:t>
      </w:r>
      <w:r w:rsidR="00602ABD" w:rsidRPr="00B67FC3">
        <w:rPr>
          <w:sz w:val="28"/>
          <w:szCs w:val="28"/>
        </w:rPr>
        <w:t xml:space="preserve">бов’язкові </w:t>
      </w:r>
      <w:r w:rsidRPr="00B67FC3">
        <w:rPr>
          <w:sz w:val="28"/>
          <w:szCs w:val="28"/>
        </w:rPr>
        <w:t>вимоги до мінімальної штатної чисельності уповноваженого підрозділу з питань запобігання та виявлення корупції в державних органах</w:t>
      </w:r>
      <w:r w:rsidR="00F728A3" w:rsidRPr="00B67FC3">
        <w:rPr>
          <w:sz w:val="28"/>
          <w:szCs w:val="28"/>
        </w:rPr>
        <w:t xml:space="preserve"> (далі – </w:t>
      </w:r>
      <w:r w:rsidR="00EE676D" w:rsidRPr="00B67FC3">
        <w:rPr>
          <w:sz w:val="28"/>
          <w:szCs w:val="28"/>
        </w:rPr>
        <w:t>о</w:t>
      </w:r>
      <w:r w:rsidR="00F728A3" w:rsidRPr="00B67FC3">
        <w:rPr>
          <w:sz w:val="28"/>
          <w:szCs w:val="28"/>
        </w:rPr>
        <w:t>бов’язкові вимоги)</w:t>
      </w:r>
      <w:r w:rsidRPr="00B67FC3">
        <w:rPr>
          <w:sz w:val="28"/>
          <w:szCs w:val="28"/>
        </w:rPr>
        <w:t>, затверджені наказом Національного агентства з питань запобігання корупції від 24 березня 2020 року № 112/20, зареєстрован</w:t>
      </w:r>
      <w:r w:rsidR="004F786D">
        <w:rPr>
          <w:sz w:val="28"/>
          <w:szCs w:val="28"/>
        </w:rPr>
        <w:t>им</w:t>
      </w:r>
      <w:r w:rsidRPr="00B67FC3">
        <w:rPr>
          <w:sz w:val="28"/>
          <w:szCs w:val="28"/>
        </w:rPr>
        <w:t xml:space="preserve"> у Міністерстві юстиції України 21 квітня 2020 року за № 363/34644.</w:t>
      </w:r>
      <w:r w:rsidR="00180F70" w:rsidRPr="00B67FC3">
        <w:rPr>
          <w:sz w:val="28"/>
          <w:szCs w:val="28"/>
        </w:rPr>
        <w:t xml:space="preserve"> </w:t>
      </w:r>
    </w:p>
    <w:p w:rsidR="00180F70" w:rsidRPr="00B67FC3" w:rsidRDefault="00F728A3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B67FC3">
        <w:rPr>
          <w:sz w:val="28"/>
          <w:szCs w:val="28"/>
        </w:rPr>
        <w:t>Відповідно</w:t>
      </w:r>
      <w:r w:rsidR="00EE676D" w:rsidRPr="00B67FC3">
        <w:rPr>
          <w:sz w:val="28"/>
          <w:szCs w:val="28"/>
        </w:rPr>
        <w:t xml:space="preserve"> до</w:t>
      </w:r>
      <w:r w:rsidRPr="00B67FC3">
        <w:rPr>
          <w:sz w:val="28"/>
          <w:szCs w:val="28"/>
        </w:rPr>
        <w:t xml:space="preserve"> </w:t>
      </w:r>
      <w:r w:rsidR="00EE676D" w:rsidRPr="00B67FC3">
        <w:rPr>
          <w:sz w:val="28"/>
          <w:szCs w:val="28"/>
        </w:rPr>
        <w:t>о</w:t>
      </w:r>
      <w:r w:rsidRPr="00B67FC3">
        <w:rPr>
          <w:sz w:val="28"/>
          <w:szCs w:val="28"/>
        </w:rPr>
        <w:t xml:space="preserve">бов’язкових вимог мінімальна </w:t>
      </w:r>
      <w:r w:rsidR="00180F70" w:rsidRPr="00B67FC3">
        <w:rPr>
          <w:sz w:val="28"/>
          <w:szCs w:val="28"/>
        </w:rPr>
        <w:t>штатна чисельність уповноваженого підрозділу з питань запобігання та виявлення корупції в державному органі встановлюється залежно від штатної чисельності органу.</w:t>
      </w:r>
      <w:r w:rsidRPr="00B67FC3">
        <w:rPr>
          <w:sz w:val="28"/>
          <w:szCs w:val="28"/>
        </w:rPr>
        <w:t xml:space="preserve"> При чисельності від 200 до 400 штатних одиниць утворюється уповноважений підрозділ зі штатною чисельністю не менше як 2 одиниці.</w:t>
      </w:r>
    </w:p>
    <w:p w:rsidR="00F728A3" w:rsidRDefault="00F728A3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B67FC3">
        <w:rPr>
          <w:sz w:val="28"/>
          <w:szCs w:val="28"/>
        </w:rPr>
        <w:t>Рішенням Вищої ради правосуддя від 5 вересня 2017 року № 2642/0/15-17 затверджено штат Вищої ради правосуддя у кількості 325 штатних одиниць.</w:t>
      </w:r>
    </w:p>
    <w:p w:rsidR="004F786D" w:rsidRDefault="004F786D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4F786D" w:rsidRDefault="004F786D" w:rsidP="004F786D">
      <w:pPr>
        <w:pStyle w:val="rtejustify"/>
        <w:shd w:val="clear" w:color="auto" w:fill="FFFFFF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4F786D" w:rsidRDefault="004F786D" w:rsidP="004F786D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center"/>
        <w:rPr>
          <w:sz w:val="28"/>
          <w:szCs w:val="28"/>
        </w:rPr>
      </w:pPr>
    </w:p>
    <w:p w:rsidR="00162C6E" w:rsidRDefault="00162C6E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B67FC3">
        <w:rPr>
          <w:sz w:val="28"/>
          <w:szCs w:val="28"/>
        </w:rPr>
        <w:t>У зв’язку із</w:t>
      </w:r>
      <w:r>
        <w:rPr>
          <w:sz w:val="28"/>
          <w:szCs w:val="28"/>
        </w:rPr>
        <w:t xml:space="preserve"> викладеним вище виникає </w:t>
      </w:r>
      <w:r w:rsidRPr="00B67FC3">
        <w:rPr>
          <w:sz w:val="28"/>
          <w:szCs w:val="28"/>
        </w:rPr>
        <w:t>необхідніст</w:t>
      </w:r>
      <w:r>
        <w:rPr>
          <w:sz w:val="28"/>
          <w:szCs w:val="28"/>
        </w:rPr>
        <w:t>ь</w:t>
      </w:r>
      <w:r w:rsidRPr="00B67FC3">
        <w:rPr>
          <w:sz w:val="28"/>
          <w:szCs w:val="28"/>
        </w:rPr>
        <w:t xml:space="preserve"> приведення у відповідність із Типовим положенням та обов’язковими вимогами структури секретаріату Вищої ради правосуддя</w:t>
      </w:r>
      <w:r>
        <w:rPr>
          <w:sz w:val="28"/>
          <w:szCs w:val="28"/>
        </w:rPr>
        <w:t>.</w:t>
      </w:r>
    </w:p>
    <w:p w:rsidR="00B67FC3" w:rsidRDefault="00B67FC3" w:rsidP="00B67FC3">
      <w:pPr>
        <w:pStyle w:val="rtejustify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Окрім того, потребує удосконалення </w:t>
      </w:r>
      <w:r w:rsidR="008B76ED">
        <w:rPr>
          <w:sz w:val="28"/>
          <w:szCs w:val="28"/>
        </w:rPr>
        <w:t xml:space="preserve">робота, пов’язана із </w:t>
      </w:r>
      <w:r w:rsidR="00306176">
        <w:rPr>
          <w:sz w:val="28"/>
          <w:szCs w:val="28"/>
        </w:rPr>
        <w:t xml:space="preserve">реалізацією інформаційної політики Вищої ради правосуддя – </w:t>
      </w:r>
      <w:r w:rsidR="008B76ED">
        <w:rPr>
          <w:sz w:val="28"/>
          <w:szCs w:val="28"/>
        </w:rPr>
        <w:t xml:space="preserve">взаємодією із засобами масової інформації, </w:t>
      </w:r>
      <w:r w:rsidR="00306176">
        <w:rPr>
          <w:sz w:val="28"/>
          <w:szCs w:val="28"/>
        </w:rPr>
        <w:t>громадянами та органами державної влади, оприлюднення</w:t>
      </w:r>
      <w:r w:rsidR="004F786D">
        <w:rPr>
          <w:sz w:val="28"/>
          <w:szCs w:val="28"/>
        </w:rPr>
        <w:t>м</w:t>
      </w:r>
      <w:r w:rsidR="00306176">
        <w:rPr>
          <w:sz w:val="28"/>
          <w:szCs w:val="28"/>
        </w:rPr>
        <w:t xml:space="preserve"> та аналіз</w:t>
      </w:r>
      <w:r w:rsidR="004F786D">
        <w:rPr>
          <w:sz w:val="28"/>
          <w:szCs w:val="28"/>
        </w:rPr>
        <w:t>ом</w:t>
      </w:r>
      <w:r w:rsidR="00306176">
        <w:rPr>
          <w:sz w:val="28"/>
          <w:szCs w:val="28"/>
        </w:rPr>
        <w:t xml:space="preserve"> публічної інформації.</w:t>
      </w:r>
    </w:p>
    <w:p w:rsidR="005B463F" w:rsidRPr="0070023A" w:rsidRDefault="005B463F" w:rsidP="005B463F">
      <w:pPr>
        <w:pStyle w:val="2"/>
        <w:tabs>
          <w:tab w:val="clear" w:pos="576"/>
          <w:tab w:val="num" w:pos="0"/>
        </w:tabs>
        <w:spacing w:before="0" w:after="0"/>
        <w:ind w:left="0" w:firstLine="851"/>
        <w:jc w:val="both"/>
        <w:rPr>
          <w:b w:val="0"/>
          <w:sz w:val="28"/>
          <w:szCs w:val="28"/>
        </w:rPr>
      </w:pPr>
      <w:r w:rsidRPr="0070023A">
        <w:rPr>
          <w:b w:val="0"/>
          <w:sz w:val="28"/>
          <w:szCs w:val="28"/>
        </w:rPr>
        <w:t>Статтею 2 Закону України</w:t>
      </w:r>
      <w:r>
        <w:rPr>
          <w:b w:val="0"/>
          <w:sz w:val="28"/>
          <w:szCs w:val="28"/>
        </w:rPr>
        <w:t xml:space="preserve"> </w:t>
      </w:r>
      <w:r w:rsidRPr="0070023A">
        <w:rPr>
          <w:b w:val="0"/>
          <w:sz w:val="28"/>
          <w:szCs w:val="28"/>
        </w:rPr>
        <w:t xml:space="preserve">«Про порядок висвітлення діяльності органів державної влади та органів місцевого самоврядування в Україні засобами масової інформації» </w:t>
      </w:r>
      <w:r>
        <w:rPr>
          <w:b w:val="0"/>
          <w:sz w:val="28"/>
          <w:szCs w:val="28"/>
        </w:rPr>
        <w:t>визначено, що о</w:t>
      </w:r>
      <w:r w:rsidRPr="0070023A">
        <w:rPr>
          <w:b w:val="0"/>
          <w:sz w:val="28"/>
          <w:szCs w:val="28"/>
        </w:rPr>
        <w:t>ргани державної влади та органи місцевого самоврядування зобо</w:t>
      </w:r>
      <w:r>
        <w:rPr>
          <w:b w:val="0"/>
          <w:sz w:val="28"/>
          <w:szCs w:val="28"/>
        </w:rPr>
        <w:t>в</w:t>
      </w:r>
      <w:r w:rsidRPr="0070023A">
        <w:rPr>
          <w:b w:val="0"/>
          <w:sz w:val="28"/>
          <w:szCs w:val="28"/>
        </w:rPr>
        <w:t>’язані</w:t>
      </w:r>
      <w:r>
        <w:rPr>
          <w:b w:val="0"/>
          <w:sz w:val="28"/>
          <w:szCs w:val="28"/>
        </w:rPr>
        <w:t xml:space="preserve"> н</w:t>
      </w:r>
      <w:r w:rsidRPr="0070023A">
        <w:rPr>
          <w:b w:val="0"/>
          <w:sz w:val="28"/>
          <w:szCs w:val="28"/>
        </w:rPr>
        <w:t>адавати засобам масової інформації повну інформацію про свою діяльність через відповідні інформаційні служби органів державної влади та органів місцевого самоврядування</w:t>
      </w:r>
      <w:r>
        <w:rPr>
          <w:b w:val="0"/>
          <w:sz w:val="28"/>
          <w:szCs w:val="28"/>
        </w:rPr>
        <w:t>.</w:t>
      </w:r>
    </w:p>
    <w:p w:rsidR="005B463F" w:rsidRDefault="005B463F" w:rsidP="005B463F">
      <w:pPr>
        <w:pStyle w:val="2"/>
        <w:shd w:val="clear" w:color="auto" w:fill="FFFFFF"/>
        <w:spacing w:before="0" w:after="0"/>
        <w:ind w:left="0" w:firstLine="851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</w:rPr>
        <w:t>З</w:t>
      </w:r>
      <w:r w:rsidRPr="00E70F54">
        <w:rPr>
          <w:b w:val="0"/>
          <w:color w:val="000000"/>
          <w:sz w:val="28"/>
          <w:szCs w:val="28"/>
        </w:rPr>
        <w:t xml:space="preserve"> метою </w:t>
      </w:r>
      <w:r w:rsidRPr="00E70F54">
        <w:rPr>
          <w:b w:val="0"/>
          <w:color w:val="000000"/>
          <w:sz w:val="28"/>
          <w:szCs w:val="28"/>
          <w:shd w:val="clear" w:color="auto" w:fill="FFFFFF"/>
        </w:rPr>
        <w:t xml:space="preserve">налагодження належних відносин судової влади та суспільства, забезпечення авторитету правосуддя, зростання рівня довіри до судової влади, гарантування права громадян на інформацію, </w:t>
      </w:r>
      <w:r w:rsidRPr="00E70F54">
        <w:rPr>
          <w:b w:val="0"/>
          <w:color w:val="000000"/>
          <w:sz w:val="28"/>
          <w:szCs w:val="28"/>
        </w:rPr>
        <w:t>об’єктивного</w:t>
      </w:r>
      <w:r w:rsidRPr="00E70F54">
        <w:rPr>
          <w:b w:val="0"/>
          <w:color w:val="000000"/>
          <w:sz w:val="28"/>
          <w:szCs w:val="28"/>
          <w:shd w:val="clear" w:color="auto" w:fill="FFFFFF"/>
        </w:rPr>
        <w:t xml:space="preserve"> та системного висвітлення діяльності судової системи в засобах масової інформації, враховуючи участь Вищої ради правосуддя у суддівському врядуванні, створенні умов для захисту авторитету правосуддя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, виникла необхідність врегулювати питання оприлюднення інформації </w:t>
      </w:r>
      <w:r w:rsidRPr="008937E6">
        <w:rPr>
          <w:b w:val="0"/>
          <w:color w:val="000000"/>
          <w:sz w:val="28"/>
          <w:szCs w:val="28"/>
          <w:shd w:val="clear" w:color="auto" w:fill="FFFFFF"/>
        </w:rPr>
        <w:t>на офіційних інтернет-ресурсах Вищої ради правосуддя</w:t>
      </w:r>
      <w:r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162C6E" w:rsidRDefault="005B463F" w:rsidP="00162C6E">
      <w:pPr>
        <w:spacing w:after="0" w:line="240" w:lineRule="auto"/>
        <w:ind w:firstLine="851"/>
        <w:contextualSpacing/>
        <w:jc w:val="both"/>
      </w:pPr>
      <w:r>
        <w:rPr>
          <w:bCs/>
          <w:color w:val="000000"/>
          <w:szCs w:val="28"/>
        </w:rPr>
        <w:t>Вища рада</w:t>
      </w:r>
      <w:r w:rsidRPr="006F5259">
        <w:rPr>
          <w:bCs/>
          <w:color w:val="000000"/>
          <w:szCs w:val="28"/>
        </w:rPr>
        <w:t xml:space="preserve"> правосуддя, </w:t>
      </w:r>
      <w:r>
        <w:rPr>
          <w:bCs/>
          <w:color w:val="000000"/>
          <w:szCs w:val="28"/>
        </w:rPr>
        <w:t>к</w:t>
      </w:r>
      <w:r w:rsidRPr="008937E6">
        <w:rPr>
          <w:color w:val="000000"/>
          <w:szCs w:val="28"/>
        </w:rPr>
        <w:t xml:space="preserve">еруючись Конституцією України, законами України «Про Вищу раду правосуддя», </w:t>
      </w:r>
      <w:r w:rsidR="00162C6E">
        <w:rPr>
          <w:color w:val="000000"/>
          <w:szCs w:val="28"/>
        </w:rPr>
        <w:t xml:space="preserve">«Про запобігання корупції», </w:t>
      </w:r>
      <w:r w:rsidRPr="008937E6">
        <w:rPr>
          <w:color w:val="000000"/>
          <w:szCs w:val="28"/>
        </w:rPr>
        <w:t>«Про інформацію», «Про доступ до публічної інформації»,</w:t>
      </w:r>
      <w:r w:rsidRPr="008937E6">
        <w:rPr>
          <w:bCs/>
          <w:color w:val="000000"/>
          <w:szCs w:val="28"/>
        </w:rPr>
        <w:t xml:space="preserve"> «Про звернення громадян», «Про порядок висвітлення діяльності органів державної влади та органів місцевого самоврядування в Україні засобами масової інформації», «Про захист персональних даних»</w:t>
      </w:r>
      <w:r w:rsidR="004F786D">
        <w:t>,</w:t>
      </w:r>
    </w:p>
    <w:p w:rsidR="00242EB5" w:rsidRPr="00F26F8E" w:rsidRDefault="00242EB5" w:rsidP="00162C6E">
      <w:pPr>
        <w:spacing w:after="0" w:line="240" w:lineRule="auto"/>
        <w:ind w:firstLine="851"/>
        <w:contextualSpacing/>
        <w:jc w:val="both"/>
        <w:rPr>
          <w:rFonts w:ascii="ProbaPro" w:hAnsi="ProbaPro"/>
          <w:szCs w:val="28"/>
        </w:rPr>
      </w:pPr>
      <w:r w:rsidRPr="00F26F8E">
        <w:rPr>
          <w:rFonts w:ascii="ProbaPro" w:hAnsi="ProbaPro"/>
          <w:szCs w:val="28"/>
        </w:rPr>
        <w:t> </w:t>
      </w:r>
    </w:p>
    <w:p w:rsidR="00242EB5" w:rsidRPr="00F26F8E" w:rsidRDefault="00242EB5" w:rsidP="00242EB5">
      <w:pPr>
        <w:pStyle w:val="rtecenter"/>
        <w:shd w:val="clear" w:color="auto" w:fill="FFFFFF"/>
        <w:spacing w:before="0" w:beforeAutospacing="0" w:after="150" w:afterAutospacing="0"/>
        <w:jc w:val="center"/>
        <w:rPr>
          <w:rFonts w:ascii="ProbaPro" w:hAnsi="ProbaPro"/>
          <w:sz w:val="28"/>
          <w:szCs w:val="28"/>
        </w:rPr>
      </w:pPr>
      <w:r w:rsidRPr="00F26F8E">
        <w:rPr>
          <w:rStyle w:val="a8"/>
          <w:rFonts w:ascii="ProbaPro" w:hAnsi="ProbaPro"/>
          <w:sz w:val="28"/>
          <w:szCs w:val="28"/>
        </w:rPr>
        <w:t>вирішила:</w:t>
      </w:r>
    </w:p>
    <w:p w:rsidR="00242EB5" w:rsidRPr="00F26F8E" w:rsidRDefault="00242EB5" w:rsidP="00242EB5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ProbaPro" w:hAnsi="ProbaPro"/>
          <w:sz w:val="28"/>
          <w:szCs w:val="28"/>
        </w:rPr>
      </w:pPr>
      <w:r w:rsidRPr="00F26F8E">
        <w:rPr>
          <w:rFonts w:ascii="ProbaPro" w:hAnsi="ProbaPro"/>
          <w:sz w:val="28"/>
          <w:szCs w:val="28"/>
        </w:rPr>
        <w:t> </w:t>
      </w:r>
    </w:p>
    <w:p w:rsidR="00242EB5" w:rsidRPr="00F26F8E" w:rsidRDefault="00242EB5" w:rsidP="00242EB5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ProbaPro" w:hAnsi="ProbaPro"/>
          <w:sz w:val="28"/>
          <w:szCs w:val="28"/>
        </w:rPr>
      </w:pPr>
      <w:r w:rsidRPr="00F26F8E">
        <w:rPr>
          <w:rFonts w:ascii="ProbaPro" w:hAnsi="ProbaPro"/>
          <w:sz w:val="28"/>
          <w:szCs w:val="28"/>
        </w:rPr>
        <w:t xml:space="preserve">затвердити зміни до структури секретаріату Вищої ради правосуддя, затвердженої рішенням Вищої ради правосуддя від 23 березня 2017 року </w:t>
      </w:r>
      <w:r w:rsidR="00F10942" w:rsidRPr="00F26F8E">
        <w:rPr>
          <w:rFonts w:ascii="ProbaPro" w:hAnsi="ProbaPro"/>
          <w:sz w:val="28"/>
          <w:szCs w:val="28"/>
        </w:rPr>
        <w:t xml:space="preserve">                          </w:t>
      </w:r>
      <w:r w:rsidRPr="00F26F8E">
        <w:rPr>
          <w:rFonts w:ascii="ProbaPro" w:hAnsi="ProbaPro"/>
          <w:sz w:val="28"/>
          <w:szCs w:val="28"/>
        </w:rPr>
        <w:t>№ 576/0/15-17, що додаються.</w:t>
      </w:r>
    </w:p>
    <w:p w:rsidR="00242EB5" w:rsidRPr="00F26F8E" w:rsidRDefault="00242EB5" w:rsidP="00242EB5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ProbaPro" w:hAnsi="ProbaPro"/>
        </w:rPr>
      </w:pPr>
      <w:r w:rsidRPr="00F26F8E">
        <w:rPr>
          <w:rFonts w:ascii="ProbaPro" w:hAnsi="ProbaPro"/>
        </w:rPr>
        <w:t> </w:t>
      </w:r>
    </w:p>
    <w:p w:rsidR="00266A93" w:rsidRPr="00F26F8E" w:rsidRDefault="00266A93" w:rsidP="00266A93">
      <w:pPr>
        <w:spacing w:after="0" w:line="240" w:lineRule="auto"/>
        <w:ind w:firstLine="5103"/>
        <w:rPr>
          <w:rFonts w:cs="Times New Roman"/>
          <w:b/>
          <w:szCs w:val="28"/>
          <w:lang w:eastAsia="ru-RU"/>
        </w:rPr>
      </w:pPr>
    </w:p>
    <w:p w:rsidR="00266A93" w:rsidRPr="00F26F8E" w:rsidRDefault="00266A93" w:rsidP="00266A93">
      <w:pPr>
        <w:spacing w:after="0" w:line="240" w:lineRule="auto"/>
        <w:rPr>
          <w:szCs w:val="28"/>
        </w:rPr>
      </w:pPr>
      <w:r w:rsidRPr="00F26F8E">
        <w:rPr>
          <w:rFonts w:cs="Times New Roman"/>
          <w:b/>
          <w:szCs w:val="28"/>
          <w:lang w:eastAsia="ru-RU"/>
        </w:rPr>
        <w:t xml:space="preserve">Голова Вищої ради правосуддя                                                    А.А. </w:t>
      </w:r>
      <w:proofErr w:type="spellStart"/>
      <w:r w:rsidRPr="00F26F8E">
        <w:rPr>
          <w:rFonts w:cs="Times New Roman"/>
          <w:b/>
          <w:szCs w:val="28"/>
          <w:lang w:eastAsia="ru-RU"/>
        </w:rPr>
        <w:t>Овсієнко</w:t>
      </w:r>
      <w:proofErr w:type="spellEnd"/>
    </w:p>
    <w:p w:rsidR="00266A93" w:rsidRPr="00F26F8E" w:rsidRDefault="00266A93" w:rsidP="00E40E70">
      <w:pPr>
        <w:spacing w:after="0" w:line="240" w:lineRule="auto"/>
        <w:ind w:firstLine="5103"/>
        <w:rPr>
          <w:szCs w:val="28"/>
        </w:rPr>
      </w:pPr>
    </w:p>
    <w:p w:rsidR="00702E42" w:rsidRPr="00F26F8E" w:rsidRDefault="00702E42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A21DB0" w:rsidRPr="00F26F8E" w:rsidRDefault="00A21DB0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602ABD" w:rsidRPr="00F26F8E" w:rsidRDefault="00602ABD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602ABD" w:rsidRPr="00F26F8E" w:rsidRDefault="00602ABD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602ABD" w:rsidRPr="00F26F8E" w:rsidRDefault="00602ABD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266A93" w:rsidRPr="00F26F8E" w:rsidRDefault="00266A93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  <w:r w:rsidRPr="00F26F8E">
        <w:rPr>
          <w:rFonts w:cs="Times New Roman"/>
          <w:b/>
          <w:sz w:val="27"/>
          <w:szCs w:val="27"/>
          <w:lang w:eastAsia="ru-RU"/>
        </w:rPr>
        <w:t>ЗАТВЕРДЖЕНО</w:t>
      </w:r>
    </w:p>
    <w:p w:rsidR="00266A93" w:rsidRPr="00F26F8E" w:rsidRDefault="00266A93" w:rsidP="00266A93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  <w:r w:rsidRPr="00F26F8E">
        <w:rPr>
          <w:rFonts w:cs="Times New Roman"/>
          <w:b/>
          <w:sz w:val="27"/>
          <w:szCs w:val="27"/>
          <w:lang w:eastAsia="ru-RU"/>
        </w:rPr>
        <w:t>Рішення Вищої ради правосуддя</w:t>
      </w:r>
    </w:p>
    <w:p w:rsidR="00266A93" w:rsidRPr="00F26F8E" w:rsidRDefault="00266A93" w:rsidP="007B08EA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  <w:r w:rsidRPr="00F26F8E">
        <w:rPr>
          <w:rFonts w:cs="Times New Roman"/>
          <w:b/>
          <w:sz w:val="27"/>
          <w:szCs w:val="27"/>
          <w:lang w:eastAsia="ru-RU"/>
        </w:rPr>
        <w:t>«</w:t>
      </w:r>
      <w:r w:rsidR="00FC764D">
        <w:rPr>
          <w:rFonts w:cs="Times New Roman"/>
          <w:b/>
          <w:sz w:val="27"/>
          <w:szCs w:val="27"/>
          <w:lang w:eastAsia="ru-RU"/>
        </w:rPr>
        <w:t>28</w:t>
      </w:r>
      <w:r w:rsidRPr="00F26F8E">
        <w:rPr>
          <w:rFonts w:cs="Times New Roman"/>
          <w:b/>
          <w:sz w:val="27"/>
          <w:szCs w:val="27"/>
          <w:lang w:eastAsia="ru-RU"/>
        </w:rPr>
        <w:t xml:space="preserve">» </w:t>
      </w:r>
      <w:r w:rsidR="00FC764D">
        <w:rPr>
          <w:rFonts w:cs="Times New Roman"/>
          <w:b/>
          <w:sz w:val="27"/>
          <w:szCs w:val="27"/>
          <w:lang w:eastAsia="ru-RU"/>
        </w:rPr>
        <w:t xml:space="preserve">травня </w:t>
      </w:r>
      <w:r w:rsidRPr="00F26F8E">
        <w:rPr>
          <w:rFonts w:cs="Times New Roman"/>
          <w:b/>
          <w:sz w:val="27"/>
          <w:szCs w:val="27"/>
          <w:lang w:eastAsia="ru-RU"/>
        </w:rPr>
        <w:t>20</w:t>
      </w:r>
      <w:r w:rsidR="00684838" w:rsidRPr="00F26F8E">
        <w:rPr>
          <w:rFonts w:cs="Times New Roman"/>
          <w:b/>
          <w:sz w:val="27"/>
          <w:szCs w:val="27"/>
          <w:lang w:eastAsia="ru-RU"/>
        </w:rPr>
        <w:t>20</w:t>
      </w:r>
      <w:r w:rsidRPr="00F26F8E">
        <w:rPr>
          <w:rFonts w:cs="Times New Roman"/>
          <w:b/>
          <w:sz w:val="27"/>
          <w:szCs w:val="27"/>
          <w:lang w:eastAsia="ru-RU"/>
        </w:rPr>
        <w:t xml:space="preserve"> року № </w:t>
      </w:r>
      <w:r w:rsidR="00FC764D">
        <w:rPr>
          <w:rFonts w:cs="Times New Roman"/>
          <w:b/>
          <w:sz w:val="27"/>
          <w:szCs w:val="27"/>
          <w:lang w:eastAsia="ru-RU"/>
        </w:rPr>
        <w:t>1607/0/15-20</w:t>
      </w:r>
    </w:p>
    <w:p w:rsidR="007B08EA" w:rsidRPr="00F26F8E" w:rsidRDefault="007B08EA" w:rsidP="007B08EA">
      <w:pPr>
        <w:spacing w:after="0" w:line="240" w:lineRule="auto"/>
        <w:ind w:left="5806" w:hanging="1270"/>
        <w:rPr>
          <w:rFonts w:cs="Times New Roman"/>
          <w:b/>
          <w:sz w:val="27"/>
          <w:szCs w:val="27"/>
          <w:lang w:eastAsia="ru-RU"/>
        </w:rPr>
      </w:pPr>
    </w:p>
    <w:p w:rsidR="00266A93" w:rsidRDefault="00266A93" w:rsidP="00266A93">
      <w:pPr>
        <w:spacing w:after="0" w:line="240" w:lineRule="auto"/>
        <w:jc w:val="center"/>
        <w:rPr>
          <w:rFonts w:cs="Times New Roman"/>
          <w:b/>
          <w:sz w:val="27"/>
          <w:szCs w:val="27"/>
          <w:lang w:eastAsia="ru-RU"/>
        </w:rPr>
      </w:pPr>
    </w:p>
    <w:p w:rsidR="004F786D" w:rsidRDefault="004F786D" w:rsidP="00266A93">
      <w:pPr>
        <w:spacing w:after="0" w:line="240" w:lineRule="auto"/>
        <w:jc w:val="center"/>
        <w:rPr>
          <w:rFonts w:cs="Times New Roman"/>
          <w:b/>
          <w:sz w:val="27"/>
          <w:szCs w:val="27"/>
          <w:lang w:eastAsia="ru-RU"/>
        </w:rPr>
      </w:pPr>
    </w:p>
    <w:p w:rsidR="00162C6E" w:rsidRPr="00F26F8E" w:rsidRDefault="00162C6E" w:rsidP="00266A93">
      <w:pPr>
        <w:spacing w:after="0" w:line="240" w:lineRule="auto"/>
        <w:jc w:val="center"/>
        <w:rPr>
          <w:rFonts w:cs="Times New Roman"/>
          <w:b/>
          <w:sz w:val="27"/>
          <w:szCs w:val="27"/>
          <w:lang w:eastAsia="ru-RU"/>
        </w:rPr>
      </w:pPr>
    </w:p>
    <w:p w:rsidR="00266A93" w:rsidRPr="008366B3" w:rsidRDefault="00266A93" w:rsidP="00266A93">
      <w:pPr>
        <w:spacing w:after="0" w:line="240" w:lineRule="auto"/>
        <w:jc w:val="center"/>
        <w:rPr>
          <w:rFonts w:cs="Times New Roman"/>
          <w:b/>
          <w:sz w:val="27"/>
          <w:szCs w:val="27"/>
          <w:lang w:eastAsia="ru-RU"/>
        </w:rPr>
      </w:pPr>
      <w:r w:rsidRPr="008366B3">
        <w:rPr>
          <w:rFonts w:cs="Times New Roman"/>
          <w:b/>
          <w:sz w:val="27"/>
          <w:szCs w:val="27"/>
          <w:lang w:eastAsia="ru-RU"/>
        </w:rPr>
        <w:t>ЗМІНИ</w:t>
      </w:r>
    </w:p>
    <w:p w:rsidR="00266A93" w:rsidRPr="008366B3" w:rsidRDefault="00266A93" w:rsidP="00F728A3">
      <w:pPr>
        <w:spacing w:after="0" w:line="240" w:lineRule="auto"/>
        <w:jc w:val="center"/>
        <w:rPr>
          <w:rFonts w:cs="Times New Roman"/>
          <w:b/>
          <w:sz w:val="27"/>
          <w:szCs w:val="27"/>
          <w:lang w:eastAsia="ru-RU"/>
        </w:rPr>
      </w:pPr>
      <w:r w:rsidRPr="008366B3">
        <w:rPr>
          <w:rFonts w:cs="Times New Roman"/>
          <w:b/>
          <w:sz w:val="27"/>
          <w:szCs w:val="27"/>
          <w:lang w:eastAsia="ru-RU"/>
        </w:rPr>
        <w:t xml:space="preserve">до </w:t>
      </w:r>
      <w:r w:rsidR="00F728A3" w:rsidRPr="008366B3">
        <w:rPr>
          <w:rFonts w:cs="Times New Roman"/>
          <w:b/>
          <w:sz w:val="27"/>
          <w:szCs w:val="27"/>
          <w:lang w:eastAsia="ru-RU"/>
        </w:rPr>
        <w:t xml:space="preserve">структури </w:t>
      </w:r>
      <w:r w:rsidR="00935D1D" w:rsidRPr="008366B3">
        <w:rPr>
          <w:rFonts w:cs="Times New Roman"/>
          <w:b/>
          <w:sz w:val="27"/>
          <w:szCs w:val="27"/>
          <w:lang w:eastAsia="ru-RU"/>
        </w:rPr>
        <w:t>секретаріату</w:t>
      </w:r>
      <w:r w:rsidR="00F728A3" w:rsidRPr="008366B3">
        <w:rPr>
          <w:rFonts w:cs="Times New Roman"/>
          <w:b/>
          <w:sz w:val="27"/>
          <w:szCs w:val="27"/>
          <w:lang w:eastAsia="ru-RU"/>
        </w:rPr>
        <w:t xml:space="preserve"> Вищої ради правосуддя</w:t>
      </w:r>
    </w:p>
    <w:p w:rsidR="00266A93" w:rsidRDefault="00266A93" w:rsidP="00266A93">
      <w:pPr>
        <w:spacing w:after="0" w:line="240" w:lineRule="auto"/>
        <w:jc w:val="both"/>
        <w:rPr>
          <w:rFonts w:cs="Times New Roman"/>
          <w:b/>
          <w:sz w:val="27"/>
          <w:szCs w:val="27"/>
          <w:lang w:eastAsia="ru-RU"/>
        </w:rPr>
      </w:pPr>
    </w:p>
    <w:p w:rsidR="004F786D" w:rsidRPr="008366B3" w:rsidRDefault="004F786D" w:rsidP="00266A93">
      <w:pPr>
        <w:spacing w:after="0" w:line="240" w:lineRule="auto"/>
        <w:jc w:val="both"/>
        <w:rPr>
          <w:rFonts w:cs="Times New Roman"/>
          <w:b/>
          <w:sz w:val="27"/>
          <w:szCs w:val="27"/>
          <w:lang w:eastAsia="ru-RU"/>
        </w:rPr>
      </w:pPr>
    </w:p>
    <w:p w:rsidR="00EE676D" w:rsidRDefault="00266A93" w:rsidP="002A76F3">
      <w:pPr>
        <w:spacing w:after="0" w:line="240" w:lineRule="auto"/>
        <w:jc w:val="both"/>
        <w:rPr>
          <w:sz w:val="27"/>
          <w:szCs w:val="27"/>
          <w:lang w:eastAsia="ru-RU"/>
        </w:rPr>
      </w:pPr>
      <w:r w:rsidRPr="00F26F8E">
        <w:rPr>
          <w:rFonts w:cs="Times New Roman"/>
          <w:sz w:val="27"/>
          <w:szCs w:val="27"/>
          <w:lang w:eastAsia="ru-RU"/>
        </w:rPr>
        <w:tab/>
      </w:r>
      <w:r w:rsidR="002A76F3" w:rsidRPr="00F26F8E">
        <w:rPr>
          <w:sz w:val="27"/>
          <w:szCs w:val="27"/>
          <w:lang w:eastAsia="ru-RU"/>
        </w:rPr>
        <w:t>У пункті 1</w:t>
      </w:r>
      <w:r w:rsidR="002A76F3">
        <w:rPr>
          <w:sz w:val="27"/>
          <w:szCs w:val="27"/>
          <w:lang w:eastAsia="ru-RU"/>
        </w:rPr>
        <w:t>:</w:t>
      </w:r>
    </w:p>
    <w:p w:rsidR="002A76F3" w:rsidRPr="00F26F8E" w:rsidRDefault="002A76F3" w:rsidP="002A76F3">
      <w:pPr>
        <w:spacing w:after="0" w:line="240" w:lineRule="auto"/>
        <w:jc w:val="both"/>
        <w:rPr>
          <w:rFonts w:cs="Times New Roman"/>
          <w:sz w:val="27"/>
          <w:szCs w:val="27"/>
          <w:lang w:eastAsia="ru-RU"/>
        </w:rPr>
      </w:pPr>
    </w:p>
    <w:p w:rsidR="00935D1D" w:rsidRDefault="00EE676D" w:rsidP="00EE676D">
      <w:pPr>
        <w:spacing w:after="0" w:line="240" w:lineRule="auto"/>
        <w:jc w:val="both"/>
        <w:rPr>
          <w:sz w:val="27"/>
          <w:szCs w:val="27"/>
          <w:lang w:eastAsia="ru-RU"/>
        </w:rPr>
      </w:pPr>
      <w:r w:rsidRPr="00F26F8E">
        <w:rPr>
          <w:rFonts w:cs="Times New Roman"/>
          <w:sz w:val="27"/>
          <w:szCs w:val="27"/>
          <w:lang w:eastAsia="ru-RU"/>
        </w:rPr>
        <w:tab/>
      </w:r>
      <w:r w:rsidR="008B76ED">
        <w:rPr>
          <w:rFonts w:cs="Times New Roman"/>
          <w:sz w:val="27"/>
          <w:szCs w:val="27"/>
          <w:lang w:eastAsia="ru-RU"/>
        </w:rPr>
        <w:t>1</w:t>
      </w:r>
      <w:r w:rsidR="002A76F3">
        <w:rPr>
          <w:rFonts w:cs="Times New Roman"/>
          <w:sz w:val="27"/>
          <w:szCs w:val="27"/>
          <w:lang w:eastAsia="ru-RU"/>
        </w:rPr>
        <w:t>)</w:t>
      </w:r>
      <w:r w:rsidR="008B76ED">
        <w:rPr>
          <w:rFonts w:cs="Times New Roman"/>
          <w:sz w:val="27"/>
          <w:szCs w:val="27"/>
          <w:lang w:eastAsia="ru-RU"/>
        </w:rPr>
        <w:t xml:space="preserve"> </w:t>
      </w:r>
      <w:r w:rsidR="004F786D">
        <w:rPr>
          <w:rFonts w:cs="Times New Roman"/>
          <w:sz w:val="27"/>
          <w:szCs w:val="27"/>
          <w:lang w:eastAsia="ru-RU"/>
        </w:rPr>
        <w:t>під</w:t>
      </w:r>
      <w:r w:rsidR="00935D1D" w:rsidRPr="00F26F8E">
        <w:rPr>
          <w:sz w:val="27"/>
          <w:szCs w:val="27"/>
          <w:lang w:eastAsia="ru-RU"/>
        </w:rPr>
        <w:t xml:space="preserve">пункт </w:t>
      </w:r>
      <w:r w:rsidR="006903D5" w:rsidRPr="00F26F8E">
        <w:rPr>
          <w:sz w:val="27"/>
          <w:szCs w:val="27"/>
          <w:lang w:eastAsia="ru-RU"/>
        </w:rPr>
        <w:t>«</w:t>
      </w:r>
      <w:r w:rsidR="00935D1D" w:rsidRPr="00F26F8E">
        <w:rPr>
          <w:sz w:val="27"/>
          <w:szCs w:val="27"/>
          <w:lang w:eastAsia="ru-RU"/>
        </w:rPr>
        <w:t>1.22</w:t>
      </w:r>
      <w:r w:rsidR="006903D5" w:rsidRPr="00F26F8E">
        <w:rPr>
          <w:sz w:val="27"/>
          <w:szCs w:val="27"/>
          <w:lang w:eastAsia="ru-RU"/>
        </w:rPr>
        <w:t>. Головний спеціаліст з питань запобігання і</w:t>
      </w:r>
      <w:bookmarkStart w:id="2" w:name="_GoBack"/>
      <w:bookmarkEnd w:id="2"/>
      <w:r w:rsidR="006903D5" w:rsidRPr="00F26F8E">
        <w:rPr>
          <w:sz w:val="27"/>
          <w:szCs w:val="27"/>
          <w:lang w:eastAsia="ru-RU"/>
        </w:rPr>
        <w:t xml:space="preserve"> виявлення корупції»</w:t>
      </w:r>
      <w:r w:rsidR="00F10942" w:rsidRPr="00F26F8E">
        <w:rPr>
          <w:sz w:val="27"/>
          <w:szCs w:val="27"/>
          <w:lang w:eastAsia="ru-RU"/>
        </w:rPr>
        <w:t xml:space="preserve"> </w:t>
      </w:r>
      <w:r w:rsidRPr="00F26F8E">
        <w:rPr>
          <w:sz w:val="27"/>
          <w:szCs w:val="27"/>
          <w:lang w:eastAsia="ru-RU"/>
        </w:rPr>
        <w:t>викласти у такій редакції</w:t>
      </w:r>
      <w:r w:rsidR="002A76F3">
        <w:rPr>
          <w:sz w:val="27"/>
          <w:szCs w:val="27"/>
          <w:lang w:eastAsia="ru-RU"/>
        </w:rPr>
        <w:t>:</w:t>
      </w:r>
      <w:r w:rsidRPr="00F26F8E">
        <w:rPr>
          <w:sz w:val="27"/>
          <w:szCs w:val="27"/>
          <w:lang w:eastAsia="ru-RU"/>
        </w:rPr>
        <w:t xml:space="preserve"> </w:t>
      </w:r>
      <w:r w:rsidR="006903D5" w:rsidRPr="00F26F8E">
        <w:rPr>
          <w:sz w:val="27"/>
          <w:szCs w:val="27"/>
          <w:lang w:eastAsia="ru-RU"/>
        </w:rPr>
        <w:t xml:space="preserve">«1.22. </w:t>
      </w:r>
      <w:r w:rsidR="00935D1D" w:rsidRPr="00F26F8E">
        <w:rPr>
          <w:sz w:val="27"/>
          <w:szCs w:val="27"/>
          <w:lang w:eastAsia="ru-RU"/>
        </w:rPr>
        <w:t xml:space="preserve">Сектор з питань запобігання </w:t>
      </w:r>
      <w:r w:rsidR="00CD56DE">
        <w:rPr>
          <w:sz w:val="27"/>
          <w:szCs w:val="27"/>
          <w:lang w:eastAsia="ru-RU"/>
        </w:rPr>
        <w:t xml:space="preserve">і </w:t>
      </w:r>
      <w:r w:rsidR="00935D1D" w:rsidRPr="00F26F8E">
        <w:rPr>
          <w:sz w:val="27"/>
          <w:szCs w:val="27"/>
          <w:lang w:eastAsia="ru-RU"/>
        </w:rPr>
        <w:t>виявлення корупції</w:t>
      </w:r>
      <w:r w:rsidR="006903D5" w:rsidRPr="00F26F8E">
        <w:rPr>
          <w:sz w:val="27"/>
          <w:szCs w:val="27"/>
          <w:lang w:eastAsia="ru-RU"/>
        </w:rPr>
        <w:t>»</w:t>
      </w:r>
      <w:r w:rsidR="00162C6E">
        <w:rPr>
          <w:sz w:val="27"/>
          <w:szCs w:val="27"/>
          <w:lang w:eastAsia="ru-RU"/>
        </w:rPr>
        <w:t>;</w:t>
      </w:r>
    </w:p>
    <w:p w:rsidR="008B76ED" w:rsidRDefault="008B76ED" w:rsidP="00EE676D">
      <w:pPr>
        <w:spacing w:after="0" w:line="240" w:lineRule="auto"/>
        <w:jc w:val="both"/>
        <w:rPr>
          <w:rFonts w:cs="Times New Roman"/>
          <w:sz w:val="27"/>
          <w:szCs w:val="27"/>
          <w:lang w:eastAsia="ru-RU"/>
        </w:rPr>
      </w:pPr>
    </w:p>
    <w:p w:rsidR="008B76ED" w:rsidRDefault="002A76F3" w:rsidP="00EE676D">
      <w:pPr>
        <w:spacing w:after="0" w:line="240" w:lineRule="auto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ab/>
        <w:t>2)</w:t>
      </w:r>
      <w:r w:rsidR="008B76ED">
        <w:rPr>
          <w:rFonts w:cs="Times New Roman"/>
          <w:sz w:val="27"/>
          <w:szCs w:val="27"/>
          <w:lang w:eastAsia="ru-RU"/>
        </w:rPr>
        <w:t xml:space="preserve"> </w:t>
      </w:r>
      <w:r w:rsidR="004F786D">
        <w:rPr>
          <w:rFonts w:cs="Times New Roman"/>
          <w:sz w:val="27"/>
          <w:szCs w:val="27"/>
          <w:lang w:eastAsia="ru-RU"/>
        </w:rPr>
        <w:t>під</w:t>
      </w:r>
      <w:r>
        <w:rPr>
          <w:rFonts w:cs="Times New Roman"/>
          <w:sz w:val="27"/>
          <w:szCs w:val="27"/>
          <w:lang w:eastAsia="ru-RU"/>
        </w:rPr>
        <w:t>пункт «1.15. Управління інформації та забезпечення комунікаційної діяльності</w:t>
      </w:r>
    </w:p>
    <w:p w:rsidR="002A76F3" w:rsidRDefault="002A76F3" w:rsidP="00B241B4">
      <w:pPr>
        <w:spacing w:after="0" w:line="240" w:lineRule="auto"/>
        <w:ind w:firstLine="708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>Відділ взаємодії із засобами масової інформації</w:t>
      </w:r>
    </w:p>
    <w:p w:rsidR="002A76F3" w:rsidRDefault="002A76F3" w:rsidP="00B241B4">
      <w:pPr>
        <w:spacing w:after="0" w:line="240" w:lineRule="auto"/>
        <w:ind w:firstLine="708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 xml:space="preserve">Відділ оприлюднення та аналізу публічної інформації </w:t>
      </w:r>
    </w:p>
    <w:p w:rsidR="002A76F3" w:rsidRDefault="002A76F3" w:rsidP="00B241B4">
      <w:pPr>
        <w:spacing w:after="0" w:line="240" w:lineRule="auto"/>
        <w:ind w:firstLine="708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>Відділ взаємодії із громадянами та органами державної влади</w:t>
      </w:r>
    </w:p>
    <w:p w:rsidR="002A76F3" w:rsidRDefault="002A76F3" w:rsidP="00B241B4">
      <w:pPr>
        <w:spacing w:after="0" w:line="240" w:lineRule="auto"/>
        <w:ind w:firstLine="708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 xml:space="preserve">Відділ редакційного опрацювання документів» </w:t>
      </w:r>
    </w:p>
    <w:p w:rsidR="002A76F3" w:rsidRDefault="002A76F3" w:rsidP="002A76F3">
      <w:pPr>
        <w:spacing w:after="0" w:line="240" w:lineRule="auto"/>
        <w:jc w:val="both"/>
        <w:rPr>
          <w:sz w:val="27"/>
          <w:szCs w:val="27"/>
          <w:lang w:eastAsia="ru-RU"/>
        </w:rPr>
      </w:pPr>
      <w:r w:rsidRPr="00F26F8E">
        <w:rPr>
          <w:sz w:val="27"/>
          <w:szCs w:val="27"/>
          <w:lang w:eastAsia="ru-RU"/>
        </w:rPr>
        <w:t>викласти у такій редакції</w:t>
      </w:r>
      <w:r>
        <w:rPr>
          <w:sz w:val="27"/>
          <w:szCs w:val="27"/>
          <w:lang w:eastAsia="ru-RU"/>
        </w:rPr>
        <w:t xml:space="preserve">: </w:t>
      </w:r>
    </w:p>
    <w:p w:rsidR="002A76F3" w:rsidRDefault="002A76F3" w:rsidP="002A76F3">
      <w:pPr>
        <w:spacing w:after="0" w:line="240" w:lineRule="auto"/>
        <w:ind w:firstLine="708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>«1.15. Управління інформаційного забезпечення</w:t>
      </w:r>
    </w:p>
    <w:p w:rsidR="002A76F3" w:rsidRDefault="002A76F3" w:rsidP="00B241B4">
      <w:pPr>
        <w:spacing w:after="0" w:line="240" w:lineRule="auto"/>
        <w:ind w:firstLine="708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 xml:space="preserve">Відділ оприлюднення та аналізу публічної інформації </w:t>
      </w:r>
    </w:p>
    <w:p w:rsidR="00DE330F" w:rsidRDefault="00DE330F" w:rsidP="00B241B4">
      <w:pPr>
        <w:spacing w:after="0" w:line="240" w:lineRule="auto"/>
        <w:ind w:firstLine="708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>Відділ взаємодії із громадянами та органами державної влади</w:t>
      </w:r>
      <w:r w:rsidRPr="00DE330F">
        <w:rPr>
          <w:rFonts w:cs="Times New Roman"/>
          <w:sz w:val="27"/>
          <w:szCs w:val="27"/>
          <w:lang w:eastAsia="ru-RU"/>
        </w:rPr>
        <w:t xml:space="preserve"> </w:t>
      </w:r>
    </w:p>
    <w:p w:rsidR="002A76F3" w:rsidRDefault="00DE330F" w:rsidP="00B241B4">
      <w:pPr>
        <w:spacing w:after="0" w:line="240" w:lineRule="auto"/>
        <w:ind w:firstLine="708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>Відділ редакційного опрацювання документів»</w:t>
      </w:r>
      <w:r w:rsidR="00162C6E">
        <w:rPr>
          <w:rFonts w:cs="Times New Roman"/>
          <w:sz w:val="27"/>
          <w:szCs w:val="27"/>
          <w:lang w:eastAsia="ru-RU"/>
        </w:rPr>
        <w:t>;</w:t>
      </w:r>
    </w:p>
    <w:p w:rsidR="00DE330F" w:rsidRDefault="00DE330F" w:rsidP="002A76F3">
      <w:pPr>
        <w:spacing w:after="0" w:line="240" w:lineRule="auto"/>
        <w:jc w:val="both"/>
        <w:rPr>
          <w:rFonts w:cs="Times New Roman"/>
          <w:sz w:val="27"/>
          <w:szCs w:val="27"/>
          <w:lang w:eastAsia="ru-RU"/>
        </w:rPr>
      </w:pPr>
    </w:p>
    <w:p w:rsidR="00DE330F" w:rsidRPr="00F26F8E" w:rsidRDefault="00DE330F" w:rsidP="002A76F3">
      <w:pPr>
        <w:spacing w:after="0" w:line="240" w:lineRule="auto"/>
        <w:jc w:val="both"/>
        <w:rPr>
          <w:rFonts w:cs="Times New Roman"/>
          <w:sz w:val="27"/>
          <w:szCs w:val="27"/>
          <w:lang w:eastAsia="ru-RU"/>
        </w:rPr>
      </w:pPr>
      <w:r>
        <w:rPr>
          <w:rFonts w:cs="Times New Roman"/>
          <w:sz w:val="27"/>
          <w:szCs w:val="27"/>
          <w:lang w:eastAsia="ru-RU"/>
        </w:rPr>
        <w:tab/>
        <w:t>3) доповнити новим підпунктом «1.24. Відділ комунікаційної діяльності (прес-офіс Вищої ради правосуддя)</w:t>
      </w:r>
      <w:r w:rsidR="00162C6E">
        <w:rPr>
          <w:rFonts w:cs="Times New Roman"/>
          <w:sz w:val="27"/>
          <w:szCs w:val="27"/>
          <w:lang w:eastAsia="ru-RU"/>
        </w:rPr>
        <w:t>».</w:t>
      </w:r>
    </w:p>
    <w:sectPr w:rsidR="00DE330F" w:rsidRPr="00F26F8E" w:rsidSect="004F786D">
      <w:pgSz w:w="11906" w:h="16838"/>
      <w:pgMar w:top="851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BA0FF2"/>
    <w:multiLevelType w:val="hybridMultilevel"/>
    <w:tmpl w:val="FA6EE0A2"/>
    <w:lvl w:ilvl="0" w:tplc="1E82A51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C276F4"/>
    <w:multiLevelType w:val="hybridMultilevel"/>
    <w:tmpl w:val="13260AD6"/>
    <w:lvl w:ilvl="0" w:tplc="635659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20B634E"/>
    <w:multiLevelType w:val="hybridMultilevel"/>
    <w:tmpl w:val="8A2C369E"/>
    <w:lvl w:ilvl="0" w:tplc="81DAEB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19D"/>
    <w:rsid w:val="00162C6E"/>
    <w:rsid w:val="00180F70"/>
    <w:rsid w:val="00192DA0"/>
    <w:rsid w:val="001A51C5"/>
    <w:rsid w:val="00242EB5"/>
    <w:rsid w:val="002452C5"/>
    <w:rsid w:val="00266A93"/>
    <w:rsid w:val="0027019D"/>
    <w:rsid w:val="002A76F3"/>
    <w:rsid w:val="00306176"/>
    <w:rsid w:val="00367A65"/>
    <w:rsid w:val="00392821"/>
    <w:rsid w:val="004F786D"/>
    <w:rsid w:val="00570A58"/>
    <w:rsid w:val="005A25E7"/>
    <w:rsid w:val="005B463F"/>
    <w:rsid w:val="00602ABD"/>
    <w:rsid w:val="00684838"/>
    <w:rsid w:val="006903D5"/>
    <w:rsid w:val="00702E42"/>
    <w:rsid w:val="00725AA6"/>
    <w:rsid w:val="007B08EA"/>
    <w:rsid w:val="007B113F"/>
    <w:rsid w:val="008366B3"/>
    <w:rsid w:val="008B76ED"/>
    <w:rsid w:val="008D011D"/>
    <w:rsid w:val="00935D1D"/>
    <w:rsid w:val="00A21DB0"/>
    <w:rsid w:val="00A65B21"/>
    <w:rsid w:val="00AA446B"/>
    <w:rsid w:val="00B241B4"/>
    <w:rsid w:val="00B42130"/>
    <w:rsid w:val="00B67FC3"/>
    <w:rsid w:val="00B91985"/>
    <w:rsid w:val="00C85890"/>
    <w:rsid w:val="00CD56DE"/>
    <w:rsid w:val="00DE330F"/>
    <w:rsid w:val="00E40E70"/>
    <w:rsid w:val="00EE676D"/>
    <w:rsid w:val="00F10942"/>
    <w:rsid w:val="00F26F8E"/>
    <w:rsid w:val="00F728A3"/>
    <w:rsid w:val="00FC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BD31"/>
  <w15:docId w15:val="{79E32CC2-D9EE-4472-BD53-3DB70362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9D"/>
    <w:rPr>
      <w:rFonts w:eastAsia="Calibri" w:cs="Calibri"/>
    </w:rPr>
  </w:style>
  <w:style w:type="paragraph" w:styleId="2">
    <w:name w:val="heading 2"/>
    <w:basedOn w:val="a"/>
    <w:next w:val="a0"/>
    <w:link w:val="20"/>
    <w:qFormat/>
    <w:rsid w:val="005B463F"/>
    <w:pPr>
      <w:numPr>
        <w:ilvl w:val="1"/>
        <w:numId w:val="4"/>
      </w:numPr>
      <w:suppressAutoHyphens/>
      <w:spacing w:before="100" w:after="100" w:line="100" w:lineRule="atLeast"/>
      <w:outlineLvl w:val="1"/>
    </w:pPr>
    <w:rPr>
      <w:rFonts w:eastAsia="Times New Roman" w:cs="Times New Roman"/>
      <w:b/>
      <w:bCs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7019D"/>
    <w:pPr>
      <w:spacing w:after="0" w:line="240" w:lineRule="auto"/>
    </w:pPr>
    <w:rPr>
      <w:rFonts w:eastAsia="Calibri" w:cs="Calibri"/>
    </w:rPr>
  </w:style>
  <w:style w:type="paragraph" w:customStyle="1" w:styleId="rvps6">
    <w:name w:val="rvps6"/>
    <w:basedOn w:val="a"/>
    <w:rsid w:val="0027019D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E40E70"/>
    <w:pPr>
      <w:spacing w:after="0" w:line="360" w:lineRule="auto"/>
      <w:ind w:left="720"/>
      <w:contextualSpacing/>
    </w:pPr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45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1"/>
    <w:link w:val="a6"/>
    <w:uiPriority w:val="99"/>
    <w:semiHidden/>
    <w:rsid w:val="002452C5"/>
    <w:rPr>
      <w:rFonts w:ascii="Segoe UI" w:eastAsia="Calibri" w:hAnsi="Segoe UI" w:cs="Segoe UI"/>
      <w:sz w:val="18"/>
      <w:szCs w:val="18"/>
    </w:rPr>
  </w:style>
  <w:style w:type="paragraph" w:customStyle="1" w:styleId="rtejustify">
    <w:name w:val="rtejustify"/>
    <w:basedOn w:val="a"/>
    <w:rsid w:val="00242EB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242EB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styleId="a8">
    <w:name w:val="Strong"/>
    <w:basedOn w:val="a1"/>
    <w:uiPriority w:val="22"/>
    <w:qFormat/>
    <w:rsid w:val="00242EB5"/>
    <w:rPr>
      <w:b/>
      <w:bCs/>
    </w:rPr>
  </w:style>
  <w:style w:type="character" w:customStyle="1" w:styleId="20">
    <w:name w:val="Заголовок 2 Знак"/>
    <w:basedOn w:val="a1"/>
    <w:link w:val="2"/>
    <w:rsid w:val="005B463F"/>
    <w:rPr>
      <w:rFonts w:eastAsia="Times New Roman" w:cs="Times New Roman"/>
      <w:b/>
      <w:bCs/>
      <w:sz w:val="36"/>
      <w:szCs w:val="36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5B463F"/>
    <w:pPr>
      <w:spacing w:after="120"/>
    </w:pPr>
  </w:style>
  <w:style w:type="character" w:customStyle="1" w:styleId="a9">
    <w:name w:val="Основний текст Знак"/>
    <w:basedOn w:val="a1"/>
    <w:link w:val="a0"/>
    <w:uiPriority w:val="99"/>
    <w:semiHidden/>
    <w:rsid w:val="005B463F"/>
    <w:rPr>
      <w:rFonts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3318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 Ліходій (VRU-US10PC0776 - o.lihodiy)</dc:creator>
  <cp:lastModifiedBy>Юрій Дудченко (HCJ-MONO0636 - y.dudchenko)</cp:lastModifiedBy>
  <cp:revision>3</cp:revision>
  <cp:lastPrinted>2020-06-11T13:32:00Z</cp:lastPrinted>
  <dcterms:created xsi:type="dcterms:W3CDTF">2020-05-29T14:24:00Z</dcterms:created>
  <dcterms:modified xsi:type="dcterms:W3CDTF">2020-06-11T13:33:00Z</dcterms:modified>
</cp:coreProperties>
</file>