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BAA" w:rsidRPr="00E0270C" w:rsidRDefault="007C4BAA" w:rsidP="007C4BAA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E0270C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45773A9E" wp14:editId="0A10A0BC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  <w:t>УКРАЇН</w:t>
      </w:r>
      <w:r w:rsidRPr="00E0270C">
        <w:rPr>
          <w:rFonts w:ascii="AcademyC" w:eastAsia="Calibri" w:hAnsi="AcademyC" w:cs="Times New Roman"/>
          <w:b/>
          <w:color w:val="000000"/>
          <w:sz w:val="26"/>
          <w:szCs w:val="26"/>
          <w:lang w:eastAsia="ru-RU"/>
        </w:rPr>
        <w:t>А</w:t>
      </w: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ВИЩА  РАДА  ПРАВОСУДДЯ</w:t>
      </w:r>
    </w:p>
    <w:p w:rsidR="007C4BAA" w:rsidRPr="00E0270C" w:rsidRDefault="007C4BAA" w:rsidP="007C4BAA">
      <w:pPr>
        <w:spacing w:after="0" w:line="240" w:lineRule="auto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AcademyC" w:eastAsia="Calibri" w:hAnsi="AcademyC" w:cs="Times New Roman"/>
          <w:b/>
          <w:color w:val="000000"/>
          <w:sz w:val="28"/>
          <w:szCs w:val="28"/>
          <w:lang w:eastAsia="ru-RU"/>
        </w:rPr>
        <w:t>ДРУГА ДИСЦИПЛІНАРНА ПАЛАТА</w:t>
      </w:r>
    </w:p>
    <w:p w:rsidR="007C4BAA" w:rsidRPr="00E0270C" w:rsidRDefault="007C4BAA" w:rsidP="007C4BA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8"/>
          <w:szCs w:val="28"/>
        </w:rPr>
      </w:pPr>
      <w:r w:rsidRPr="00E0270C">
        <w:rPr>
          <w:rFonts w:ascii="AcademyC" w:eastAsia="Calibri" w:hAnsi="AcademyC" w:cs="Calibri"/>
          <w:b/>
          <w:sz w:val="28"/>
          <w:szCs w:val="28"/>
        </w:rPr>
        <w:t>УХВАЛА</w:t>
      </w:r>
    </w:p>
    <w:p w:rsidR="007C4BAA" w:rsidRPr="00E0270C" w:rsidRDefault="007C4BAA" w:rsidP="007C4BAA">
      <w:pPr>
        <w:spacing w:after="0" w:line="240" w:lineRule="auto"/>
        <w:contextualSpacing/>
        <w:jc w:val="center"/>
        <w:rPr>
          <w:rFonts w:ascii="AcademyC" w:eastAsia="Calibri" w:hAnsi="AcademyC" w:cs="Calibri"/>
          <w:b/>
          <w:sz w:val="26"/>
          <w:szCs w:val="26"/>
        </w:rPr>
      </w:pPr>
    </w:p>
    <w:tbl>
      <w:tblPr>
        <w:tblW w:w="10723" w:type="dxa"/>
        <w:tblLook w:val="04A0" w:firstRow="1" w:lastRow="0" w:firstColumn="1" w:lastColumn="0" w:noHBand="0" w:noVBand="1"/>
      </w:tblPr>
      <w:tblGrid>
        <w:gridCol w:w="3726"/>
        <w:gridCol w:w="1094"/>
        <w:gridCol w:w="1648"/>
        <w:gridCol w:w="4255"/>
      </w:tblGrid>
      <w:tr w:rsidR="007C4BAA" w:rsidRPr="00E0270C" w:rsidTr="00831F4B">
        <w:trPr>
          <w:trHeight w:val="188"/>
        </w:trPr>
        <w:tc>
          <w:tcPr>
            <w:tcW w:w="3726" w:type="dxa"/>
            <w:hideMark/>
          </w:tcPr>
          <w:p w:rsidR="007C4BAA" w:rsidRPr="00C41B39" w:rsidRDefault="00C41B39" w:rsidP="00C41B39">
            <w:pPr>
              <w:spacing w:after="200" w:line="276" w:lineRule="auto"/>
              <w:ind w:right="-2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C41B3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10 червня 2020 року</w:t>
            </w:r>
          </w:p>
        </w:tc>
        <w:tc>
          <w:tcPr>
            <w:tcW w:w="2742" w:type="dxa"/>
            <w:gridSpan w:val="2"/>
            <w:hideMark/>
          </w:tcPr>
          <w:p w:rsidR="007C4BAA" w:rsidRPr="00E0270C" w:rsidRDefault="007C4BAA" w:rsidP="00831F4B">
            <w:pPr>
              <w:spacing w:after="200" w:line="276" w:lineRule="auto"/>
              <w:ind w:right="-2"/>
              <w:rPr>
                <w:rFonts w:ascii="Book Antiqua" w:eastAsia="Calibri" w:hAnsi="Book Antiqua" w:cs="Times New Roman"/>
                <w:noProof/>
                <w:sz w:val="24"/>
                <w:szCs w:val="24"/>
              </w:rPr>
            </w:pPr>
            <w:r w:rsidRPr="00E0270C">
              <w:rPr>
                <w:rFonts w:ascii="Bookman Old Style" w:eastAsia="Calibri" w:hAnsi="Bookman Old Style" w:cs="Times New Roman"/>
                <w:sz w:val="26"/>
                <w:szCs w:val="26"/>
                <w:lang w:eastAsia="ru-RU"/>
              </w:rPr>
              <w:t xml:space="preserve">         </w:t>
            </w:r>
            <w:r w:rsidRPr="00E0270C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4255" w:type="dxa"/>
            <w:hideMark/>
          </w:tcPr>
          <w:p w:rsidR="007C4BAA" w:rsidRPr="00C41B39" w:rsidRDefault="007C4BAA" w:rsidP="00C41B39">
            <w:pPr>
              <w:tabs>
                <w:tab w:val="left" w:pos="3105"/>
              </w:tabs>
              <w:spacing w:after="200" w:line="276" w:lineRule="auto"/>
              <w:ind w:right="220"/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</w:pPr>
            <w:r w:rsidRPr="00E02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C41B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Pr="00C41B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C41B39" w:rsidRPr="00C41B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1791/2дп/15-20</w:t>
            </w:r>
          </w:p>
        </w:tc>
      </w:tr>
      <w:tr w:rsidR="007C4BAA" w:rsidRPr="00E0270C" w:rsidTr="00831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5903" w:type="dxa"/>
          <w:trHeight w:val="987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BAA" w:rsidRPr="00E0270C" w:rsidRDefault="007C4BAA" w:rsidP="00FF3991">
            <w:pPr>
              <w:widowControl w:val="0"/>
              <w:spacing w:after="0" w:line="240" w:lineRule="auto"/>
              <w:ind w:right="457"/>
              <w:jc w:val="both"/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</w:pP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Про відмову у відкритті дисциплінарних справ за скаргами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адвоката Леньшиної О.В. </w:t>
            </w:r>
            <w:r w:rsidRPr="00E0270C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стосовно судді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Дзержинського районного суду міста Харкова Аркатової К.В.; адвоката Яковенка О.О. стосовно суддів Київського апеляційного суду Присяжнюка О.Б.,</w:t>
            </w:r>
            <w:r w:rsidR="00FF399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Глиняного В.П., Паленика І.Г.; адвоката</w:t>
            </w:r>
            <w:r w:rsidR="00FF399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Хандусенка І.О. стосовно судді Новомиколаївського районного суду Запорізької області</w:t>
            </w:r>
            <w:r w:rsidR="00FF3991"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pacing w:val="6"/>
                <w:sz w:val="24"/>
                <w:szCs w:val="24"/>
                <w:lang w:eastAsia="ru-RU"/>
              </w:rPr>
              <w:t>Шиша А.Б.; Лукашенко О.В. стосовно судді Вінницького міського суду Вінницької області Клапоущака С.Ю.</w:t>
            </w:r>
          </w:p>
        </w:tc>
      </w:tr>
    </w:tbl>
    <w:p w:rsidR="007C4BA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у складі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головуючого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Худика М.П.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членів Другої Дисциплінарної палати Вищої ради правосуддя Артеменка І.А., </w:t>
      </w:r>
      <w:r w:rsidR="00D763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Блажівської О.Є.,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Прудивуса О.В.,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доповідача – члена Другої Дисциплінарної палати Вищої ради правосуддя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Грищука В.К.</w:t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результатами попередньої перевірки скарг, </w:t>
      </w:r>
    </w:p>
    <w:p w:rsidR="007C4BAA" w:rsidRPr="005F2A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4BAA" w:rsidRPr="00E0270C" w:rsidRDefault="007C4BAA" w:rsidP="007C4B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7C4BAA" w:rsidRPr="005F2A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4BAA" w:rsidRPr="000D5482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 квітня 2020 року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Вищої ради правосуддя за вхідним № 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Л-2576/0/7-20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Леньшиної О.В.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подана 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в інтересах Блошка М.В.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судді 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Дзержинського районного суду міста Харкова Аркатової К.В.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638/12914/17</w:t>
      </w:r>
      <w:r w:rsid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(провадження </w:t>
      </w:r>
      <w:r w:rsidR="00686599" w:rsidRPr="000D54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D5482" w:rsidRPr="000D5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1-кп/638/388/19)</w:t>
      </w:r>
      <w:r w:rsidRPr="000D54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86599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686599"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28 травня </w:t>
      </w:r>
      <w:r w:rsidRPr="00686599">
        <w:rPr>
          <w:rFonts w:ascii="Times New Roman" w:eastAsia="Calibri" w:hAnsi="Times New Roman" w:cs="Times New Roman"/>
          <w:sz w:val="28"/>
          <w:szCs w:val="28"/>
          <w:lang w:eastAsia="ru-RU"/>
        </w:rPr>
        <w:t>2020 року про відсутність підстав для відкриття дисциплінарної справи,</w:t>
      </w:r>
      <w:r w:rsidRPr="00D7631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686599"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C4BAA" w:rsidRPr="00D76730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25 травня 2020 року 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до Вищої ради правосуддя за вхідним</w:t>
      </w:r>
      <w:r w:rsidR="00D7673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Я-3311/0/7-20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надійшла скарга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адвоката Яковенка О.О.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подана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в інтересах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Казаряна А.Е.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45D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дії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суддів Київського апеляційного суду Присяжнюка О.Б., Глиняного В.П., Паленика І.Г. 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№ </w:t>
      </w:r>
      <w:r w:rsidR="00D76730"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752/22663/18</w:t>
      </w:r>
      <w:r w:rsidRPr="00D7673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C4BAA" w:rsidRPr="00D76730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lastRenderedPageBreak/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D76730"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29 травня </w:t>
      </w:r>
      <w:r w:rsidRPr="00D7673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C4BAA" w:rsidRPr="00D7631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3. </w:t>
      </w:r>
      <w:r w:rsidR="00D7631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19 травня </w:t>
      </w:r>
      <w:r w:rsidRPr="00D7631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2020 року 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Х-595/1/7-20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адвоката Хандусенка І.О.</w:t>
      </w:r>
      <w:r w:rsidR="00745D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подана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інтересах</w:t>
      </w:r>
      <w:r w:rsidR="00745D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Осадчої Н.О.</w:t>
      </w:r>
      <w:r w:rsidR="00745DA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Новомиколаївського районного суду Запорізької області Шиша А.Б. 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під час розгляду справи № </w:t>
      </w:r>
      <w:r w:rsid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322/506/19</w:t>
      </w:r>
      <w:r w:rsidRPr="00D763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C4BAA" w:rsidRPr="00D7631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7631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="00D7631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28 травня </w:t>
      </w:r>
      <w:r w:rsidRPr="00D7631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2020 року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4. 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>1</w:t>
      </w:r>
      <w:r w:rsidR="00FF274A"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9 травня </w:t>
      </w:r>
      <w:r>
        <w:rPr>
          <w:rFonts w:ascii="Times New Roman" w:eastAsia="Calibri" w:hAnsi="Times New Roman" w:cs="Times New Roman"/>
          <w:bCs/>
          <w:spacing w:val="-4"/>
          <w:sz w:val="28"/>
          <w:szCs w:val="28"/>
          <w:lang w:eastAsia="ru-RU"/>
        </w:rPr>
        <w:t xml:space="preserve">2020 року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 Вищої ради правосуддя за вхідним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FF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Л-3202/0/7-20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надійшла скарга </w:t>
      </w:r>
      <w:r w:rsidR="00FF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Лукашенко О.В.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дії судді </w:t>
      </w:r>
      <w:r w:rsidR="00FF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Вінницького міського суду Вінницької області Клапоущака С.Ю. 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 час розгляду справи</w:t>
      </w:r>
      <w:r w:rsidR="00FF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FF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127/34300/19</w:t>
      </w: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Грищуком В.К.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складено висновок від </w:t>
      </w:r>
      <w:r w:rsidR="00FF27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28 травня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20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року про відсутність підстав для відкриття дисциплінарної справи, оскільки суть скарги зводиться 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лише </w:t>
      </w:r>
      <w:r w:rsidRPr="00E0270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до незгоди із судовим рішенням (пункт 4 частини першої статті 45 Закону України «Про Вищу раду правосуддя»).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пункту 4 частини </w:t>
      </w:r>
      <w:r w:rsidR="00436E75">
        <w:rPr>
          <w:rFonts w:ascii="Times New Roman" w:eastAsia="Calibri" w:hAnsi="Times New Roman" w:cs="Times New Roman"/>
          <w:sz w:val="28"/>
          <w:szCs w:val="28"/>
          <w:lang w:eastAsia="ru-RU"/>
        </w:rPr>
        <w:t>першої статті 45 Закону України</w:t>
      </w:r>
      <w:r w:rsidR="00436E7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7C4BAA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</w:t>
      </w:r>
    </w:p>
    <w:p w:rsidR="007C4BAA" w:rsidRPr="005F2A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4BAA" w:rsidRPr="00E0270C" w:rsidRDefault="007C4BAA" w:rsidP="007C4BA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E027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C4BAA" w:rsidRPr="005F2A0C" w:rsidRDefault="007C4BAA" w:rsidP="007C4BA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E0047" w:rsidRPr="005E0047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D3A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у відкритті дисциплінарної справи за скаргою</w:t>
      </w:r>
      <w:r w:rsidR="005E00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адвоката Леньшиної Оксани Володимирівни </w:t>
      </w:r>
      <w:r w:rsidRPr="005E0047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5E0047" w:rsidRPr="005E0047">
        <w:rPr>
          <w:rFonts w:ascii="Times New Roman" w:eastAsia="Calibri" w:hAnsi="Times New Roman" w:cs="Times New Roman"/>
          <w:sz w:val="28"/>
          <w:szCs w:val="28"/>
        </w:rPr>
        <w:t>Дзержинського районного суду міста Харкова Аркатової Катерини Віталіївни.</w:t>
      </w:r>
    </w:p>
    <w:p w:rsidR="00D76730" w:rsidRPr="00D76730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730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Відмовити у відкритті дисциплінарної справи за скаргою </w:t>
      </w:r>
      <w:r w:rsidR="00D76730" w:rsidRPr="00D7673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адвоката Яковенка Олександра Олександровича </w:t>
      </w:r>
      <w:r w:rsidRPr="00D76730">
        <w:rPr>
          <w:rFonts w:ascii="Times New Roman" w:eastAsia="Calibri" w:hAnsi="Times New Roman" w:cs="Times New Roman"/>
          <w:sz w:val="28"/>
          <w:szCs w:val="28"/>
        </w:rPr>
        <w:t>стосовно судді</w:t>
      </w:r>
      <w:r w:rsidR="00D76730" w:rsidRPr="00D76730">
        <w:rPr>
          <w:rFonts w:ascii="Times New Roman" w:eastAsia="Calibri" w:hAnsi="Times New Roman" w:cs="Times New Roman"/>
          <w:sz w:val="28"/>
          <w:szCs w:val="28"/>
        </w:rPr>
        <w:t>в</w:t>
      </w:r>
      <w:r w:rsidRPr="00D767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730" w:rsidRPr="00D76730">
        <w:rPr>
          <w:rFonts w:ascii="Times New Roman" w:eastAsia="Calibri" w:hAnsi="Times New Roman" w:cs="Times New Roman"/>
          <w:sz w:val="28"/>
          <w:szCs w:val="28"/>
        </w:rPr>
        <w:t>Київського апеляційного суду Присяжнюка Олега Богдановича, Глиняного Віктора Петровича, Паленика Ігоря Григоровича.</w:t>
      </w:r>
    </w:p>
    <w:p w:rsidR="00D76730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Відмовити у відкритті дисциплінарної справи за скаргою</w:t>
      </w:r>
      <w:r w:rsidRPr="00C73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730">
        <w:rPr>
          <w:rFonts w:ascii="Times New Roman" w:eastAsia="Calibri" w:hAnsi="Times New Roman" w:cs="Times New Roman"/>
          <w:sz w:val="28"/>
          <w:szCs w:val="28"/>
        </w:rPr>
        <w:t xml:space="preserve">адвоката Хандусенка Івана Олеговича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D76730">
        <w:rPr>
          <w:rFonts w:ascii="Times New Roman" w:eastAsia="Calibri" w:hAnsi="Times New Roman" w:cs="Times New Roman"/>
          <w:sz w:val="28"/>
          <w:szCs w:val="28"/>
        </w:rPr>
        <w:t>Новомиколаївського районного суду Запорізької області Шиша Антона Борисовича.</w:t>
      </w:r>
    </w:p>
    <w:p w:rsidR="00D76730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Відмовити у відкритті дисциплінарної справи за скаргою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D767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Лукашенко Олени Володимирівни </w:t>
      </w:r>
      <w:r w:rsidRPr="00B50D8A">
        <w:rPr>
          <w:rFonts w:ascii="Times New Roman" w:eastAsia="Calibri" w:hAnsi="Times New Roman" w:cs="Times New Roman"/>
          <w:sz w:val="28"/>
          <w:szCs w:val="28"/>
        </w:rPr>
        <w:t xml:space="preserve">стосовно судді </w:t>
      </w:r>
      <w:r w:rsidR="00D76730">
        <w:rPr>
          <w:rFonts w:ascii="Times New Roman" w:eastAsia="Calibri" w:hAnsi="Times New Roman" w:cs="Times New Roman"/>
          <w:sz w:val="28"/>
          <w:szCs w:val="28"/>
        </w:rPr>
        <w:t>Вінницького міського суду Вінницької області Клапоущака Сергія Юрійовича.</w:t>
      </w:r>
    </w:p>
    <w:p w:rsidR="007C4BAA" w:rsidRPr="00E0270C" w:rsidRDefault="007C4BAA" w:rsidP="007C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Ухвала оскарженню не підлягає.</w:t>
      </w:r>
    </w:p>
    <w:p w:rsidR="007C4BAA" w:rsidRPr="00B50D8A" w:rsidRDefault="007C4BAA" w:rsidP="007C4BA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BAA" w:rsidRPr="00B50D8A" w:rsidRDefault="007C4BAA" w:rsidP="007C4BA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BAA" w:rsidRPr="00E0270C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Головуючий на засіданні</w:t>
      </w:r>
    </w:p>
    <w:p w:rsidR="007C4BAA" w:rsidRPr="00E0270C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Другої Дисциплінарної палати</w:t>
      </w:r>
    </w:p>
    <w:p w:rsidR="007C4BAA" w:rsidRPr="00E0270C" w:rsidRDefault="007C4BAA" w:rsidP="007C4BAA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М.П. Худик</w:t>
      </w:r>
    </w:p>
    <w:p w:rsidR="007C4BAA" w:rsidRPr="00C47CB6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Pr="00E0270C" w:rsidRDefault="007C4BAA" w:rsidP="007C4BAA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Члени Другої Дисциплінарної </w:t>
      </w:r>
    </w:p>
    <w:p w:rsidR="007C4BAA" w:rsidRPr="00E0270C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палати Вищої ради правосуддя</w:t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І.А. Артеменко</w:t>
      </w:r>
    </w:p>
    <w:p w:rsidR="007C4BAA" w:rsidRPr="00C47CB6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Pr="00C47CB6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6730" w:rsidRPr="00D76730" w:rsidRDefault="00D76730" w:rsidP="007C4B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D7673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О.Є. Блажівська</w:t>
      </w:r>
    </w:p>
    <w:p w:rsidR="00D76730" w:rsidRDefault="00D76730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6730" w:rsidRPr="00D76730" w:rsidRDefault="00D76730" w:rsidP="007C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4BAA" w:rsidRDefault="007C4BAA" w:rsidP="007C4B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027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О.В. Прудивус</w:t>
      </w:r>
    </w:p>
    <w:p w:rsidR="007C4BAA" w:rsidRDefault="007C4BAA" w:rsidP="007C4BAA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C4BAA" w:rsidRDefault="007C4BAA" w:rsidP="007C4BAA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7C4BAA" w:rsidSect="00BD61AE">
      <w:headerReference w:type="default" r:id="rId7"/>
      <w:pgSz w:w="11906" w:h="16838"/>
      <w:pgMar w:top="993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0C" w:rsidRDefault="00E2380C">
      <w:pPr>
        <w:spacing w:after="0" w:line="240" w:lineRule="auto"/>
      </w:pPr>
      <w:r>
        <w:separator/>
      </w:r>
    </w:p>
  </w:endnote>
  <w:endnote w:type="continuationSeparator" w:id="0">
    <w:p w:rsidR="00E2380C" w:rsidRDefault="00E2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0C" w:rsidRDefault="00E2380C">
      <w:pPr>
        <w:spacing w:after="0" w:line="240" w:lineRule="auto"/>
      </w:pPr>
      <w:r>
        <w:separator/>
      </w:r>
    </w:p>
  </w:footnote>
  <w:footnote w:type="continuationSeparator" w:id="0">
    <w:p w:rsidR="00E2380C" w:rsidRDefault="00E2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65" w:rsidRPr="0001721C" w:rsidRDefault="004A7B4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1721C">
      <w:rPr>
        <w:rFonts w:ascii="Times New Roman" w:hAnsi="Times New Roman" w:cs="Times New Roman"/>
        <w:sz w:val="24"/>
        <w:szCs w:val="24"/>
      </w:rPr>
      <w:fldChar w:fldCharType="begin"/>
    </w:r>
    <w:r w:rsidRPr="0001721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1721C">
      <w:rPr>
        <w:rFonts w:ascii="Times New Roman" w:hAnsi="Times New Roman" w:cs="Times New Roman"/>
        <w:sz w:val="24"/>
        <w:szCs w:val="24"/>
      </w:rPr>
      <w:fldChar w:fldCharType="separate"/>
    </w:r>
    <w:r w:rsidR="00C41B39">
      <w:rPr>
        <w:rFonts w:ascii="Times New Roman" w:hAnsi="Times New Roman" w:cs="Times New Roman"/>
        <w:noProof/>
        <w:sz w:val="24"/>
        <w:szCs w:val="24"/>
      </w:rPr>
      <w:t>3</w:t>
    </w:r>
    <w:r w:rsidRPr="0001721C">
      <w:rPr>
        <w:rFonts w:ascii="Times New Roman" w:hAnsi="Times New Roman" w:cs="Times New Roman"/>
        <w:sz w:val="24"/>
        <w:szCs w:val="24"/>
      </w:rPr>
      <w:fldChar w:fldCharType="end"/>
    </w:r>
  </w:p>
  <w:p w:rsidR="00021E65" w:rsidRPr="00954AA4" w:rsidRDefault="00E2380C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AA"/>
    <w:rsid w:val="000D5482"/>
    <w:rsid w:val="001C5CF8"/>
    <w:rsid w:val="00436E75"/>
    <w:rsid w:val="004A7B47"/>
    <w:rsid w:val="004F709F"/>
    <w:rsid w:val="005A6489"/>
    <w:rsid w:val="005E0047"/>
    <w:rsid w:val="005F2A0C"/>
    <w:rsid w:val="00686599"/>
    <w:rsid w:val="00745DA0"/>
    <w:rsid w:val="007C4997"/>
    <w:rsid w:val="007C4BAA"/>
    <w:rsid w:val="00934E0D"/>
    <w:rsid w:val="00B30D3A"/>
    <w:rsid w:val="00C41B39"/>
    <w:rsid w:val="00D7631A"/>
    <w:rsid w:val="00D76730"/>
    <w:rsid w:val="00D916A5"/>
    <w:rsid w:val="00DB7E5D"/>
    <w:rsid w:val="00DC31B3"/>
    <w:rsid w:val="00E2380C"/>
    <w:rsid w:val="00F531A4"/>
    <w:rsid w:val="00FF274A"/>
    <w:rsid w:val="00FF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40A0"/>
  <w15:chartTrackingRefBased/>
  <w15:docId w15:val="{B2C254C9-F967-452C-A6C6-0ABA0DF3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B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4BAA"/>
  </w:style>
  <w:style w:type="character" w:styleId="a5">
    <w:name w:val="Strong"/>
    <w:basedOn w:val="a0"/>
    <w:uiPriority w:val="22"/>
    <w:qFormat/>
    <w:rsid w:val="007C4BA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A7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7B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3170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24</cp:revision>
  <cp:lastPrinted>2020-06-09T12:01:00Z</cp:lastPrinted>
  <dcterms:created xsi:type="dcterms:W3CDTF">2020-06-04T14:16:00Z</dcterms:created>
  <dcterms:modified xsi:type="dcterms:W3CDTF">2020-06-11T09:00:00Z</dcterms:modified>
</cp:coreProperties>
</file>