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14" w:rsidRDefault="006C3B14" w:rsidP="006C3B14">
      <w:pPr>
        <w:autoSpaceDN w:val="0"/>
        <w:spacing w:after="200" w:line="276" w:lineRule="auto"/>
        <w:contextualSpacing/>
        <w:jc w:val="both"/>
        <w:rPr>
          <w:sz w:val="27"/>
          <w:szCs w:val="27"/>
          <w:lang w:val="en-US"/>
        </w:rPr>
      </w:pPr>
    </w:p>
    <w:p w:rsidR="006C3B14" w:rsidRDefault="006C3B14" w:rsidP="006C3B14">
      <w:pPr>
        <w:spacing w:before="360"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0000"/>
          <w:sz w:val="27"/>
          <w:szCs w:val="27"/>
        </w:rPr>
        <w:t>УКРАЇНА</w:t>
      </w:r>
    </w:p>
    <w:p w:rsidR="006C3B14" w:rsidRDefault="006C3B14" w:rsidP="006C3B14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>ВИЩА  РАДА  ПРАВОСУДДЯ</w:t>
      </w:r>
    </w:p>
    <w:p w:rsidR="006C3B14" w:rsidRDefault="006C3B14" w:rsidP="006C3B14">
      <w:pPr>
        <w:spacing w:after="60" w:line="276" w:lineRule="auto"/>
        <w:jc w:val="center"/>
        <w:rPr>
          <w:rFonts w:ascii="AcademyC" w:hAnsi="AcademyC"/>
          <w:b/>
          <w:color w:val="000000"/>
          <w:sz w:val="27"/>
          <w:szCs w:val="27"/>
        </w:rPr>
      </w:pPr>
      <w:r>
        <w:rPr>
          <w:rFonts w:ascii="AcademyC" w:hAnsi="AcademyC"/>
          <w:b/>
          <w:color w:val="000000"/>
          <w:sz w:val="27"/>
          <w:szCs w:val="27"/>
        </w:rPr>
        <w:t xml:space="preserve"> ПЕРША ДИСЦИПЛІНАРНА ПАЛАТА</w:t>
      </w:r>
    </w:p>
    <w:p w:rsidR="006C3B14" w:rsidRDefault="006C3B14" w:rsidP="006C3B14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  <w:r>
        <w:rPr>
          <w:rFonts w:ascii="AcademyC" w:hAnsi="AcademyC"/>
          <w:b/>
          <w:sz w:val="27"/>
          <w:szCs w:val="27"/>
        </w:rPr>
        <w:t>УХВАЛА</w:t>
      </w:r>
    </w:p>
    <w:p w:rsidR="006C3B14" w:rsidRDefault="006C3B14" w:rsidP="006C3B14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7"/>
          <w:szCs w:val="27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6C3B14" w:rsidTr="006C3B14">
        <w:trPr>
          <w:trHeight w:val="188"/>
        </w:trPr>
        <w:tc>
          <w:tcPr>
            <w:tcW w:w="3098" w:type="dxa"/>
            <w:hideMark/>
          </w:tcPr>
          <w:p w:rsidR="006C3B14" w:rsidRDefault="006C3B14" w:rsidP="006C3B14">
            <w:pPr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 xml:space="preserve">12 червня </w:t>
            </w: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 xml:space="preserve"> 2020 року</w:t>
            </w:r>
          </w:p>
        </w:tc>
        <w:tc>
          <w:tcPr>
            <w:tcW w:w="3309" w:type="dxa"/>
            <w:hideMark/>
          </w:tcPr>
          <w:p w:rsidR="006C3B14" w:rsidRDefault="006C3B14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sz w:val="27"/>
                <w:szCs w:val="27"/>
              </w:rPr>
              <w:t xml:space="preserve">                   Київ</w:t>
            </w:r>
          </w:p>
        </w:tc>
        <w:tc>
          <w:tcPr>
            <w:tcW w:w="3624" w:type="dxa"/>
            <w:hideMark/>
          </w:tcPr>
          <w:p w:rsidR="006C3B14" w:rsidRDefault="006C3B14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7"/>
                <w:szCs w:val="27"/>
              </w:rPr>
            </w:pPr>
            <w:r>
              <w:rPr>
                <w:rFonts w:ascii="Book Antiqua" w:hAnsi="Book Antiqua"/>
                <w:b/>
                <w:noProof/>
                <w:sz w:val="27"/>
                <w:szCs w:val="27"/>
              </w:rPr>
              <w:t xml:space="preserve">    </w:t>
            </w:r>
            <w:r>
              <w:rPr>
                <w:rFonts w:ascii="Book Antiqua" w:hAnsi="Book Antiqua"/>
                <w:b/>
                <w:sz w:val="27"/>
                <w:szCs w:val="27"/>
              </w:rPr>
              <w:t>№ 1823</w:t>
            </w:r>
            <w:bookmarkStart w:id="0" w:name="_GoBack"/>
            <w:bookmarkEnd w:id="0"/>
            <w:r>
              <w:rPr>
                <w:rFonts w:ascii="Book Antiqua" w:hAnsi="Book Antiqua"/>
                <w:b/>
                <w:sz w:val="27"/>
                <w:szCs w:val="27"/>
              </w:rPr>
              <w:t>/1дп/15-20</w:t>
            </w:r>
          </w:p>
        </w:tc>
      </w:tr>
    </w:tbl>
    <w:p w:rsidR="006C3B14" w:rsidRDefault="006C3B14" w:rsidP="006C3B14">
      <w:pPr>
        <w:tabs>
          <w:tab w:val="left" w:pos="9540"/>
        </w:tabs>
        <w:autoSpaceDN w:val="0"/>
        <w:spacing w:after="0" w:line="240" w:lineRule="auto"/>
        <w:jc w:val="both"/>
        <w:rPr>
          <w:rFonts w:ascii="Times New Roman" w:hAnsi="Times New Roman"/>
          <w:bCs/>
          <w:color w:val="FFFFFF"/>
          <w:sz w:val="27"/>
          <w:szCs w:val="27"/>
        </w:rPr>
      </w:pPr>
      <w:r>
        <w:rPr>
          <w:bCs/>
          <w:color w:val="FFFFFF"/>
          <w:sz w:val="27"/>
          <w:szCs w:val="27"/>
        </w:rPr>
        <w:t>____                       № ____________________</w:t>
      </w:r>
    </w:p>
    <w:tbl>
      <w:tblPr>
        <w:tblW w:w="85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4111"/>
      </w:tblGrid>
      <w:tr w:rsidR="006C3B14" w:rsidTr="006C3B14">
        <w:trPr>
          <w:trHeight w:val="85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3B14" w:rsidRDefault="006C3B14">
            <w:pPr>
              <w:widowControl w:val="0"/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 відмову у відкритті дисциплінарної справи стосовно суддів Голосіївського районного суду міста Києва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Колдіної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О.О.,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Близнюківського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районного суду Харківської області Лобановської С.М., Житомирського окружного адміністративного суду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Капинос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О.В., Касаційного цивільного суду у складі Верховного Суду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Луспеника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Д.Д.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C3B14" w:rsidRDefault="006C3B1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u w:val="single"/>
              </w:rPr>
            </w:pPr>
          </w:p>
        </w:tc>
      </w:tr>
      <w:tr w:rsidR="006C3B14" w:rsidTr="006C3B14">
        <w:trPr>
          <w:trHeight w:val="85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6C3B14" w:rsidRDefault="006C3B1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C3B14" w:rsidRDefault="006C3B14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  <w:u w:val="single"/>
              </w:rPr>
            </w:pPr>
          </w:p>
        </w:tc>
      </w:tr>
    </w:tbl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      головуючого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Маловацького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О.В., членів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Краснощокової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Н.С.,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Розваляєвої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Т.С., Шелест С.Б.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розглянувши висновки доповідача – члена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за результатами попередньої перевірки скарг, </w:t>
      </w:r>
    </w:p>
    <w:p w:rsidR="006C3B14" w:rsidRDefault="006C3B14" w:rsidP="006C3B14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5 травня 2020 року надійшла дисциплінарна скарга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Сподіна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С.Ю. від 4 травня 2020 року (єдиний унікальний номер                             С-2948/0/7-20) на дії судді Голосіївського районного суду міста Києва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Колдіної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О.О. під час здійснення правосуддя у справі № 752/1668/20.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5 травня 2020 року надійшла дисциплінарна скарга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Лозівської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місцевої прокуратури Харківської області, подана через керівника  Білодіда І.М., від 29 квітня 2020 року (єдиний унікальний номер 361/0/13-20) на дії судді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Близнюківського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районного суду Харківської області Лобановської С.М. під час здійснення правосуддя у справі  № 612/598/19.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</w:t>
      </w:r>
      <w:r>
        <w:rPr>
          <w:rFonts w:ascii="Times New Roman" w:hAnsi="Times New Roman" w:cs="Times New Roman"/>
          <w:sz w:val="28"/>
          <w:szCs w:val="28"/>
        </w:rPr>
        <w:lastRenderedPageBreak/>
        <w:t>дисциплінарної справи, 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судовими рішеннями (пункт 4 частини першої статті 45 Закону України «Про Вищу раду правосуддя»).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Вищої ради правосуддя 30 квітня 2020 року надійшла дисциплінарна скарга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Шатила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О.А. від 23 квітня 2020 року (єдиний унікальний номер                             Ш-2904/0/7-20) на дії судді Житомирського окружного адміністративного суду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Капинос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О.В. під час здійснення правосуддя у справі № </w:t>
      </w:r>
      <w:r>
        <w:rPr>
          <w:rFonts w:ascii="Times New Roman" w:hAnsi="Times New Roman"/>
          <w:color w:val="000000"/>
          <w:sz w:val="28"/>
          <w:szCs w:val="28"/>
        </w:rPr>
        <w:t>240/10162/19.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В.В. складено висновок про відсутність підстав для відкриття дисциплінарної справи, </w:t>
      </w:r>
      <w:r>
        <w:rPr>
          <w:rFonts w:ascii="Times New Roman" w:hAnsi="Times New Roman" w:cs="Times New Roman"/>
          <w:sz w:val="28"/>
          <w:szCs w:val="28"/>
        </w:rPr>
        <w:t>оскільки 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</w:rPr>
        <w:t>судовими рішеннями (пункт 4 частини першої статті 45 Закону України «Про Вищу раду правосуддя»).</w:t>
      </w:r>
    </w:p>
    <w:p w:rsidR="006C3B14" w:rsidRDefault="006C3B14" w:rsidP="006C3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До Вищої ради правосуддя 22 квітня 2020 року надійшла дисциплінарна скарга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Шевченка О.А. від 15 квітня 2020 року (єдиний унікальний номер                         Ш-2679/0/7-20) </w:t>
      </w:r>
      <w:r>
        <w:rPr>
          <w:rFonts w:ascii="Times New Roman" w:hAnsi="Times New Roman" w:cs="Times New Roman"/>
          <w:sz w:val="28"/>
          <w:szCs w:val="28"/>
        </w:rPr>
        <w:t xml:space="preserve">на дії судді Касаційного цивільного суду у складі Верховного Суду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Луспеника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Д.Д. під час здійснення правосуддя у справі № 520/4608/17.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                 доповідачем – членом Першої Дисциплінарної палати Вищої ради правосуддя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складено висновок про відсутність підстав для відкриття дисциплінарної справи, оскільки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доводи скарги зводяться лише до незгоди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</w:rPr>
        <w:t>судовим рішенням (пункт 4 частини першої статті 45 Закону України «Про Вищу раду правосуддя»).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пункту 4 частини першої статті 45 Закону України                      «Про Вищу раду правосуддя» у відкритті дисциплінарної справи має бути відмовлено, якщо суть скарги зводиться лише до незгоди із судовим рішенням. 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правосуддя,</w:t>
      </w:r>
    </w:p>
    <w:p w:rsidR="006C3B14" w:rsidRDefault="006C3B14" w:rsidP="006C3B14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3B14" w:rsidRDefault="006C3B14" w:rsidP="006C3B1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C3B14" w:rsidRDefault="006C3B14" w:rsidP="006C3B1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6C3B14" w:rsidRDefault="006C3B14" w:rsidP="006C3B1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Сподіна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Сергія Юрійовича стосовно судді Голосіївського районного суду міста Києва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Колдіної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Олександри Олегівни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  <w:t>;</w:t>
      </w:r>
    </w:p>
    <w:p w:rsidR="006C3B14" w:rsidRDefault="006C3B14" w:rsidP="006C3B1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Лозівської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місцевої прокуратури Харківської області стосовно судді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Близнюківського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районного суду Харківської області Лобановської Сніжани Миколаївни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  <w:t>;</w:t>
      </w:r>
    </w:p>
    <w:p w:rsidR="006C3B14" w:rsidRDefault="006C3B14" w:rsidP="006C3B1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відмовити у відкритті дисциплінарної справи за скаргою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Шатила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Олексія Анатолійовича стосовно судді Житомирського окружного адміністративного суду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Капинос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Оксани Валентинівни</w:t>
      </w:r>
      <w:r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val="x-none" w:eastAsia="x-none"/>
        </w:rPr>
        <w:t>;</w:t>
      </w:r>
    </w:p>
    <w:p w:rsidR="006C3B14" w:rsidRDefault="006C3B14" w:rsidP="006C3B1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відмовити у відкритті дисциплінарної справи за скаргою Шевченка Олександра Анатолійовича стосовно судді Касаційного цивільного суду у складі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lastRenderedPageBreak/>
        <w:t xml:space="preserve">Верховного Суду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Луспеника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Дмитра Дмитровича.</w:t>
      </w:r>
    </w:p>
    <w:p w:rsidR="006C3B14" w:rsidRDefault="006C3B14" w:rsidP="006C3B14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shd w:val="clear" w:color="auto" w:fill="FFFFFF"/>
          <w:lang w:eastAsia="x-none"/>
        </w:rPr>
      </w:pPr>
    </w:p>
    <w:p w:rsidR="006C3B14" w:rsidRDefault="006C3B14" w:rsidP="006C3B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Ухвала оскарженню не підлягає. </w:t>
      </w:r>
    </w:p>
    <w:p w:rsidR="006C3B14" w:rsidRDefault="006C3B14" w:rsidP="006C3B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на засіданні </w:t>
      </w: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Першої Дисциплінарної </w:t>
      </w: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О.В.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Маловацький</w:t>
      </w:r>
      <w:proofErr w:type="spellEnd"/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Члени Першої Дисциплінарної</w:t>
      </w: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палати Вищої ради правосуддя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Н.С.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Краснощокова</w:t>
      </w:r>
      <w:proofErr w:type="spellEnd"/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Т.С.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Розваляєва</w:t>
      </w:r>
      <w:proofErr w:type="spellEnd"/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С.Б. Шелест</w:t>
      </w:r>
    </w:p>
    <w:p w:rsidR="006C3B14" w:rsidRDefault="006C3B14" w:rsidP="006C3B1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3B14" w:rsidRDefault="006C3B14" w:rsidP="006C3B1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C3B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14"/>
    <w:rsid w:val="006C3B14"/>
    <w:rsid w:val="00B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2904"/>
  <w15:chartTrackingRefBased/>
  <w15:docId w15:val="{123535DA-9ACE-4539-949D-0EE3D6B4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B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C3B1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3B14"/>
    <w:pPr>
      <w:widowControl w:val="0"/>
      <w:shd w:val="clear" w:color="auto" w:fill="FFFFFF"/>
      <w:spacing w:after="1020" w:line="24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3541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Катерина Шаповалова (HCJ-MONO0196 - k.shapovalova)</cp:lastModifiedBy>
  <cp:revision>1</cp:revision>
  <dcterms:created xsi:type="dcterms:W3CDTF">2020-06-16T06:27:00Z</dcterms:created>
  <dcterms:modified xsi:type="dcterms:W3CDTF">2020-06-16T06:28:00Z</dcterms:modified>
</cp:coreProperties>
</file>