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6B7" w:rsidRPr="004B7746" w:rsidRDefault="00B826B7" w:rsidP="00B826B7">
      <w:pPr>
        <w:rPr>
          <w:color w:val="000000" w:themeColor="text1"/>
        </w:rPr>
      </w:pPr>
    </w:p>
    <w:p w:rsidR="00B826B7" w:rsidRPr="004B7746" w:rsidRDefault="00B826B7" w:rsidP="00B826B7">
      <w:pPr>
        <w:spacing w:before="360" w:after="60"/>
        <w:jc w:val="center"/>
        <w:rPr>
          <w:rFonts w:ascii="AcademyC" w:hAnsi="AcademyC"/>
          <w:b/>
          <w:color w:val="000000" w:themeColor="text1"/>
          <w:sz w:val="28"/>
          <w:szCs w:val="28"/>
        </w:rPr>
      </w:pPr>
    </w:p>
    <w:p w:rsidR="00B826B7" w:rsidRPr="0042294B" w:rsidRDefault="00B826B7" w:rsidP="00B826B7">
      <w:pPr>
        <w:spacing w:before="360" w:after="60"/>
        <w:jc w:val="center"/>
        <w:rPr>
          <w:rFonts w:ascii="AcademyC" w:hAnsi="AcademyC"/>
          <w:b/>
          <w:color w:val="000000" w:themeColor="text1"/>
          <w:sz w:val="28"/>
          <w:szCs w:val="28"/>
        </w:rPr>
      </w:pPr>
      <w:r w:rsidRPr="0042294B">
        <w:rPr>
          <w:noProof/>
          <w:color w:val="000000" w:themeColor="text1"/>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42294B">
        <w:rPr>
          <w:rFonts w:ascii="AcademyC" w:hAnsi="AcademyC"/>
          <w:b/>
          <w:color w:val="000000" w:themeColor="text1"/>
          <w:sz w:val="28"/>
          <w:szCs w:val="28"/>
        </w:rPr>
        <w:t>УКРАЇНА</w:t>
      </w:r>
    </w:p>
    <w:p w:rsidR="00B826B7" w:rsidRPr="0042294B" w:rsidRDefault="00B826B7" w:rsidP="00B826B7">
      <w:pPr>
        <w:spacing w:after="60"/>
        <w:jc w:val="center"/>
        <w:rPr>
          <w:rFonts w:ascii="AcademyC" w:hAnsi="AcademyC"/>
          <w:b/>
          <w:color w:val="000000" w:themeColor="text1"/>
          <w:sz w:val="28"/>
          <w:szCs w:val="28"/>
        </w:rPr>
      </w:pPr>
      <w:r w:rsidRPr="0042294B">
        <w:rPr>
          <w:rFonts w:ascii="AcademyC" w:hAnsi="AcademyC"/>
          <w:b/>
          <w:color w:val="000000" w:themeColor="text1"/>
          <w:sz w:val="28"/>
          <w:szCs w:val="28"/>
        </w:rPr>
        <w:t>ВИЩА  РАДА  ПРАВОСУДДЯ</w:t>
      </w:r>
    </w:p>
    <w:p w:rsidR="00B826B7" w:rsidRPr="0042294B" w:rsidRDefault="00B826B7" w:rsidP="00B826B7">
      <w:pPr>
        <w:spacing w:after="240"/>
        <w:jc w:val="center"/>
        <w:rPr>
          <w:rFonts w:ascii="AcademyC" w:hAnsi="AcademyC"/>
          <w:b/>
          <w:color w:val="000000" w:themeColor="text1"/>
          <w:sz w:val="28"/>
          <w:szCs w:val="28"/>
        </w:rPr>
      </w:pPr>
      <w:r w:rsidRPr="0042294B">
        <w:rPr>
          <w:rFonts w:ascii="AcademyC" w:hAnsi="AcademyC"/>
          <w:b/>
          <w:color w:val="000000" w:themeColor="text1"/>
          <w:sz w:val="28"/>
          <w:szCs w:val="28"/>
        </w:rPr>
        <w:t>РІШЕННЯ</w:t>
      </w:r>
    </w:p>
    <w:tbl>
      <w:tblPr>
        <w:tblW w:w="10031" w:type="dxa"/>
        <w:tblLook w:val="04A0"/>
      </w:tblPr>
      <w:tblGrid>
        <w:gridCol w:w="108"/>
        <w:gridCol w:w="2990"/>
        <w:gridCol w:w="838"/>
        <w:gridCol w:w="2471"/>
        <w:gridCol w:w="3624"/>
      </w:tblGrid>
      <w:tr w:rsidR="00B826B7" w:rsidRPr="0042294B" w:rsidTr="008451D9">
        <w:trPr>
          <w:trHeight w:val="188"/>
        </w:trPr>
        <w:tc>
          <w:tcPr>
            <w:tcW w:w="3098" w:type="dxa"/>
            <w:gridSpan w:val="2"/>
          </w:tcPr>
          <w:p w:rsidR="00B826B7" w:rsidRPr="0042294B" w:rsidRDefault="00B826B7" w:rsidP="0007150D">
            <w:pPr>
              <w:spacing w:after="0"/>
              <w:ind w:right="-2"/>
              <w:rPr>
                <w:rFonts w:ascii="Times New Roman" w:hAnsi="Times New Roman"/>
                <w:b/>
                <w:noProof/>
                <w:color w:val="000000" w:themeColor="text1"/>
                <w:sz w:val="28"/>
                <w:szCs w:val="28"/>
              </w:rPr>
            </w:pPr>
            <w:r w:rsidRPr="0042294B">
              <w:rPr>
                <w:rFonts w:ascii="Times New Roman" w:hAnsi="Times New Roman"/>
                <w:b/>
                <w:noProof/>
                <w:color w:val="000000" w:themeColor="text1"/>
                <w:sz w:val="28"/>
                <w:szCs w:val="28"/>
              </w:rPr>
              <w:t>25 червня 20</w:t>
            </w:r>
            <w:r w:rsidR="0007150D">
              <w:rPr>
                <w:rFonts w:ascii="Times New Roman" w:hAnsi="Times New Roman"/>
                <w:b/>
                <w:noProof/>
                <w:color w:val="000000" w:themeColor="text1"/>
                <w:sz w:val="28"/>
                <w:szCs w:val="28"/>
              </w:rPr>
              <w:t>20</w:t>
            </w:r>
            <w:r w:rsidRPr="0042294B">
              <w:rPr>
                <w:rFonts w:ascii="Times New Roman" w:hAnsi="Times New Roman"/>
                <w:b/>
                <w:noProof/>
                <w:color w:val="000000" w:themeColor="text1"/>
                <w:sz w:val="28"/>
                <w:szCs w:val="28"/>
              </w:rPr>
              <w:t xml:space="preserve"> року</w:t>
            </w:r>
          </w:p>
        </w:tc>
        <w:tc>
          <w:tcPr>
            <w:tcW w:w="3309" w:type="dxa"/>
            <w:gridSpan w:val="2"/>
          </w:tcPr>
          <w:p w:rsidR="00B826B7" w:rsidRPr="0042294B" w:rsidRDefault="00B826B7" w:rsidP="008451D9">
            <w:pPr>
              <w:spacing w:after="0"/>
              <w:ind w:right="-2"/>
              <w:jc w:val="center"/>
              <w:rPr>
                <w:rFonts w:ascii="Times New Roman" w:hAnsi="Times New Roman"/>
                <w:b/>
                <w:noProof/>
                <w:color w:val="000000" w:themeColor="text1"/>
                <w:sz w:val="28"/>
                <w:szCs w:val="28"/>
              </w:rPr>
            </w:pPr>
            <w:r w:rsidRPr="0042294B">
              <w:rPr>
                <w:rFonts w:ascii="Times New Roman" w:hAnsi="Times New Roman"/>
                <w:b/>
                <w:color w:val="000000" w:themeColor="text1"/>
                <w:sz w:val="28"/>
                <w:szCs w:val="28"/>
              </w:rPr>
              <w:t xml:space="preserve">      Київ</w:t>
            </w:r>
          </w:p>
        </w:tc>
        <w:tc>
          <w:tcPr>
            <w:tcW w:w="3624" w:type="dxa"/>
          </w:tcPr>
          <w:p w:rsidR="00B826B7" w:rsidRPr="0042294B" w:rsidRDefault="00B826B7" w:rsidP="008451D9">
            <w:pPr>
              <w:spacing w:after="0"/>
              <w:ind w:right="-2"/>
              <w:rPr>
                <w:rFonts w:ascii="Times New Roman" w:hAnsi="Times New Roman"/>
                <w:b/>
                <w:noProof/>
                <w:color w:val="000000" w:themeColor="text1"/>
                <w:sz w:val="28"/>
                <w:szCs w:val="28"/>
              </w:rPr>
            </w:pPr>
            <w:r w:rsidRPr="0042294B">
              <w:rPr>
                <w:rFonts w:ascii="Times New Roman" w:hAnsi="Times New Roman"/>
                <w:b/>
                <w:color w:val="000000" w:themeColor="text1"/>
                <w:sz w:val="28"/>
                <w:szCs w:val="28"/>
              </w:rPr>
              <w:t xml:space="preserve">        № </w:t>
            </w:r>
            <w:r w:rsidR="00812D9B" w:rsidRPr="0042294B">
              <w:rPr>
                <w:rFonts w:ascii="Times New Roman" w:hAnsi="Times New Roman"/>
                <w:b/>
                <w:color w:val="000000" w:themeColor="text1"/>
                <w:sz w:val="28"/>
                <w:szCs w:val="28"/>
              </w:rPr>
              <w:t>1976/0/15-20</w:t>
            </w:r>
          </w:p>
        </w:tc>
      </w:tr>
      <w:tr w:rsidR="00B826B7" w:rsidRPr="0042294B" w:rsidTr="008451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95" w:type="dxa"/>
        </w:trPr>
        <w:tc>
          <w:tcPr>
            <w:tcW w:w="3828" w:type="dxa"/>
            <w:gridSpan w:val="2"/>
            <w:tcBorders>
              <w:top w:val="nil"/>
              <w:left w:val="nil"/>
              <w:bottom w:val="nil"/>
              <w:right w:val="nil"/>
            </w:tcBorders>
          </w:tcPr>
          <w:p w:rsidR="00B826B7" w:rsidRPr="0042294B" w:rsidRDefault="00B826B7" w:rsidP="008451D9">
            <w:pPr>
              <w:pStyle w:val="a3"/>
              <w:ind w:left="-108"/>
              <w:jc w:val="both"/>
              <w:rPr>
                <w:rFonts w:ascii="Times New Roman" w:hAnsi="Times New Roman"/>
                <w:b/>
                <w:color w:val="000000" w:themeColor="text1"/>
                <w:sz w:val="24"/>
                <w:szCs w:val="24"/>
              </w:rPr>
            </w:pPr>
          </w:p>
          <w:p w:rsidR="00B826B7" w:rsidRPr="0042294B" w:rsidRDefault="00B826B7" w:rsidP="008451D9">
            <w:pPr>
              <w:pStyle w:val="a3"/>
              <w:ind w:left="-108"/>
              <w:jc w:val="both"/>
              <w:rPr>
                <w:rFonts w:ascii="Times New Roman" w:hAnsi="Times New Roman"/>
                <w:b/>
                <w:color w:val="000000" w:themeColor="text1"/>
                <w:sz w:val="24"/>
                <w:szCs w:val="24"/>
              </w:rPr>
            </w:pPr>
            <w:r w:rsidRPr="0042294B">
              <w:rPr>
                <w:rFonts w:ascii="Times New Roman" w:hAnsi="Times New Roman"/>
                <w:b/>
                <w:color w:val="000000" w:themeColor="text1"/>
                <w:sz w:val="24"/>
                <w:szCs w:val="24"/>
              </w:rPr>
              <w:t>Про зміну рішення Третьої Дисциплінарної палати Вищої ради правосуддя від 23 січня 2019 року № 181/3дп/15-19 «</w:t>
            </w:r>
            <w:r w:rsidRPr="0042294B">
              <w:rPr>
                <w:rFonts w:ascii="Times New Roman" w:hAnsi="Times New Roman" w:cstheme="minorHAnsi"/>
                <w:b/>
                <w:color w:val="000000" w:themeColor="text1"/>
                <w:sz w:val="24"/>
                <w:szCs w:val="24"/>
              </w:rPr>
              <w:t xml:space="preserve">Про </w:t>
            </w:r>
            <w:r w:rsidRPr="0042294B">
              <w:rPr>
                <w:rFonts w:ascii="Times New Roman" w:hAnsi="Times New Roman" w:cstheme="minorHAnsi"/>
                <w:b/>
                <w:bCs/>
                <w:color w:val="000000" w:themeColor="text1"/>
                <w:sz w:val="24"/>
                <w:szCs w:val="24"/>
              </w:rPr>
              <w:t xml:space="preserve">притягнення </w:t>
            </w:r>
            <w:r w:rsidRPr="0042294B">
              <w:rPr>
                <w:rFonts w:ascii="Times New Roman" w:hAnsi="Times New Roman" w:cstheme="minorHAnsi"/>
                <w:b/>
                <w:color w:val="000000" w:themeColor="text1"/>
                <w:sz w:val="24"/>
                <w:szCs w:val="24"/>
              </w:rPr>
              <w:t>судді</w:t>
            </w:r>
            <w:r w:rsidRPr="0042294B">
              <w:rPr>
                <w:rFonts w:ascii="Times New Roman" w:hAnsi="Times New Roman" w:cstheme="minorHAnsi"/>
                <w:b/>
                <w:color w:val="000000" w:themeColor="text1"/>
                <w:sz w:val="24"/>
                <w:szCs w:val="24"/>
                <w:lang w:eastAsia="ru-RU"/>
              </w:rPr>
              <w:t xml:space="preserve"> </w:t>
            </w:r>
            <w:proofErr w:type="spellStart"/>
            <w:r w:rsidRPr="0042294B">
              <w:rPr>
                <w:rFonts w:ascii="Times New Roman" w:hAnsi="Times New Roman"/>
                <w:b/>
                <w:color w:val="000000" w:themeColor="text1"/>
                <w:sz w:val="24"/>
                <w:szCs w:val="26"/>
              </w:rPr>
              <w:t>Біляївського</w:t>
            </w:r>
            <w:proofErr w:type="spellEnd"/>
            <w:r w:rsidRPr="0042294B">
              <w:rPr>
                <w:rFonts w:ascii="Times New Roman" w:hAnsi="Times New Roman"/>
                <w:b/>
                <w:color w:val="000000" w:themeColor="text1"/>
                <w:sz w:val="24"/>
                <w:szCs w:val="26"/>
              </w:rPr>
              <w:t xml:space="preserve"> районного суду Одеської області </w:t>
            </w:r>
            <w:proofErr w:type="spellStart"/>
            <w:r w:rsidRPr="0042294B">
              <w:rPr>
                <w:rFonts w:ascii="Times New Roman" w:hAnsi="Times New Roman"/>
                <w:b/>
                <w:color w:val="000000" w:themeColor="text1"/>
                <w:sz w:val="24"/>
                <w:szCs w:val="26"/>
              </w:rPr>
              <w:t>Горяєва</w:t>
            </w:r>
            <w:proofErr w:type="spellEnd"/>
            <w:r w:rsidRPr="0042294B">
              <w:rPr>
                <w:rFonts w:ascii="Times New Roman" w:hAnsi="Times New Roman"/>
                <w:b/>
                <w:color w:val="000000" w:themeColor="text1"/>
                <w:sz w:val="24"/>
                <w:szCs w:val="26"/>
              </w:rPr>
              <w:t xml:space="preserve"> І.М. </w:t>
            </w:r>
            <w:r w:rsidRPr="0042294B">
              <w:rPr>
                <w:rFonts w:ascii="Times New Roman" w:hAnsi="Times New Roman" w:cstheme="minorHAnsi"/>
                <w:b/>
                <w:color w:val="000000" w:themeColor="text1"/>
                <w:sz w:val="24"/>
                <w:szCs w:val="24"/>
              </w:rPr>
              <w:t>до дисциплінарної відповідальності</w:t>
            </w:r>
            <w:r w:rsidRPr="0042294B">
              <w:rPr>
                <w:rFonts w:ascii="Times New Roman" w:hAnsi="Times New Roman"/>
                <w:b/>
                <w:color w:val="000000" w:themeColor="text1"/>
                <w:sz w:val="24"/>
                <w:szCs w:val="24"/>
              </w:rPr>
              <w:t>»</w:t>
            </w:r>
          </w:p>
        </w:tc>
      </w:tr>
    </w:tbl>
    <w:p w:rsidR="00B826B7" w:rsidRPr="0042294B" w:rsidRDefault="00B826B7" w:rsidP="00B826B7">
      <w:pPr>
        <w:pStyle w:val="a3"/>
        <w:ind w:firstLine="709"/>
        <w:jc w:val="both"/>
        <w:rPr>
          <w:rFonts w:ascii="Times New Roman" w:hAnsi="Times New Roman"/>
          <w:color w:val="000000" w:themeColor="text1"/>
          <w:sz w:val="28"/>
          <w:szCs w:val="28"/>
        </w:rPr>
      </w:pPr>
    </w:p>
    <w:p w:rsidR="00BC0BE3" w:rsidRPr="0042294B" w:rsidRDefault="00BC0BE3" w:rsidP="00B826B7">
      <w:pPr>
        <w:pStyle w:val="a3"/>
        <w:ind w:firstLine="709"/>
        <w:jc w:val="both"/>
        <w:rPr>
          <w:rFonts w:ascii="Times New Roman" w:hAnsi="Times New Roman"/>
          <w:color w:val="000000" w:themeColor="text1"/>
          <w:sz w:val="28"/>
          <w:szCs w:val="28"/>
        </w:rPr>
      </w:pPr>
    </w:p>
    <w:p w:rsidR="00B826B7" w:rsidRPr="0042294B" w:rsidRDefault="00B826B7" w:rsidP="00B826B7">
      <w:pPr>
        <w:pStyle w:val="a3"/>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Вища рада правосуддя, розглянувши скаргу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Ігоря Миколайовича та скаргу представника судді – адвоката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Ольги Олександрівни на рішення Третьої Дисциплінарної палати Вищої ради правосуддя від 23 січня 2019 року № 181/3дп/15-19,</w:t>
      </w:r>
    </w:p>
    <w:p w:rsidR="00B826B7" w:rsidRPr="0042294B" w:rsidRDefault="00B826B7" w:rsidP="00B826B7">
      <w:pPr>
        <w:pStyle w:val="a3"/>
        <w:spacing w:after="60"/>
        <w:jc w:val="center"/>
        <w:rPr>
          <w:rFonts w:ascii="Times New Roman" w:hAnsi="Times New Roman"/>
          <w:b/>
          <w:color w:val="000000" w:themeColor="text1"/>
          <w:sz w:val="28"/>
          <w:szCs w:val="28"/>
        </w:rPr>
      </w:pPr>
    </w:p>
    <w:p w:rsidR="00B826B7" w:rsidRPr="0042294B" w:rsidRDefault="00B826B7" w:rsidP="00B826B7">
      <w:pPr>
        <w:pStyle w:val="a3"/>
        <w:spacing w:after="60"/>
        <w:jc w:val="center"/>
        <w:rPr>
          <w:rFonts w:ascii="Times New Roman" w:hAnsi="Times New Roman"/>
          <w:b/>
          <w:color w:val="000000" w:themeColor="text1"/>
          <w:sz w:val="28"/>
          <w:szCs w:val="28"/>
        </w:rPr>
      </w:pPr>
      <w:r w:rsidRPr="0042294B">
        <w:rPr>
          <w:rFonts w:ascii="Times New Roman" w:hAnsi="Times New Roman"/>
          <w:b/>
          <w:color w:val="000000" w:themeColor="text1"/>
          <w:sz w:val="28"/>
          <w:szCs w:val="28"/>
        </w:rPr>
        <w:t>встановила:</w:t>
      </w:r>
    </w:p>
    <w:p w:rsidR="00B826B7" w:rsidRPr="0042294B" w:rsidRDefault="00B826B7" w:rsidP="00B826B7">
      <w:pPr>
        <w:spacing w:after="0" w:line="240" w:lineRule="auto"/>
        <w:jc w:val="both"/>
        <w:rPr>
          <w:rFonts w:ascii="Times New Roman" w:hAnsi="Times New Roman"/>
          <w:color w:val="000000" w:themeColor="text1"/>
          <w:sz w:val="28"/>
          <w:szCs w:val="28"/>
        </w:rPr>
      </w:pPr>
    </w:p>
    <w:p w:rsidR="00B826B7" w:rsidRPr="0042294B" w:rsidRDefault="00B826B7" w:rsidP="00B826B7">
      <w:pPr>
        <w:spacing w:after="0" w:line="240" w:lineRule="auto"/>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до Вищої ради правосуддя 31 січня 2019 року за вхідним № 492/0/6-19 (</w:t>
      </w:r>
      <w:r w:rsidR="001B3F45" w:rsidRPr="0042294B">
        <w:rPr>
          <w:rFonts w:ascii="Times New Roman" w:hAnsi="Times New Roman"/>
          <w:color w:val="000000" w:themeColor="text1"/>
          <w:sz w:val="28"/>
          <w:szCs w:val="28"/>
        </w:rPr>
        <w:t xml:space="preserve">з </w:t>
      </w:r>
      <w:r w:rsidRPr="0042294B">
        <w:rPr>
          <w:rFonts w:ascii="Times New Roman" w:hAnsi="Times New Roman"/>
          <w:color w:val="000000" w:themeColor="text1"/>
          <w:sz w:val="28"/>
          <w:szCs w:val="28"/>
        </w:rPr>
        <w:t>доповнення</w:t>
      </w:r>
      <w:r w:rsidR="001B3F45" w:rsidRPr="0042294B">
        <w:rPr>
          <w:rFonts w:ascii="Times New Roman" w:hAnsi="Times New Roman"/>
          <w:color w:val="000000" w:themeColor="text1"/>
          <w:sz w:val="28"/>
          <w:szCs w:val="28"/>
        </w:rPr>
        <w:t>ми</w:t>
      </w:r>
      <w:r w:rsidRPr="0042294B">
        <w:rPr>
          <w:rFonts w:ascii="Times New Roman" w:hAnsi="Times New Roman"/>
          <w:color w:val="000000" w:themeColor="text1"/>
          <w:sz w:val="28"/>
          <w:szCs w:val="28"/>
        </w:rPr>
        <w:t xml:space="preserve"> </w:t>
      </w:r>
      <w:r w:rsidR="001B3F45" w:rsidRPr="0042294B">
        <w:rPr>
          <w:rFonts w:ascii="Times New Roman" w:hAnsi="Times New Roman"/>
          <w:color w:val="000000" w:themeColor="text1"/>
          <w:sz w:val="28"/>
          <w:szCs w:val="28"/>
        </w:rPr>
        <w:t xml:space="preserve">від </w:t>
      </w:r>
      <w:r w:rsidRPr="0042294B">
        <w:rPr>
          <w:rFonts w:ascii="Times New Roman" w:hAnsi="Times New Roman"/>
          <w:color w:val="000000" w:themeColor="text1"/>
          <w:sz w:val="28"/>
          <w:szCs w:val="28"/>
        </w:rPr>
        <w:t xml:space="preserve">25 лютого 2019 року) та 22 лютого 2019 року за вхідним № К-1303/0/7-19 надійшли скарги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та представника судді – адвоката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на рішення Третьої Дисциплінарної палати Вищої ради правосуддя від 23 січня 2019 року № 181/3дп/15-19 (далі – Дисциплінарна палата) про притягнення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до дисциплінарної відповідальності.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На підставі протоколу автоматизованого розподілу справи між членами Вищої ради правосуддя від 31 січня 2019 року та протоколу передачі справи раніше визначеному члену Вищої ради правосуддя від 25 лютого 2019 року скарги передані на розгляд члену Вищої ради правосуддя </w:t>
      </w:r>
      <w:proofErr w:type="spellStart"/>
      <w:r w:rsidRPr="0042294B">
        <w:rPr>
          <w:rFonts w:ascii="Times New Roman" w:hAnsi="Times New Roman"/>
          <w:color w:val="000000" w:themeColor="text1"/>
          <w:sz w:val="28"/>
          <w:szCs w:val="28"/>
        </w:rPr>
        <w:t>Беляневичу</w:t>
      </w:r>
      <w:proofErr w:type="spellEnd"/>
      <w:r w:rsidRPr="0042294B">
        <w:rPr>
          <w:rFonts w:ascii="Times New Roman" w:hAnsi="Times New Roman"/>
          <w:color w:val="000000" w:themeColor="text1"/>
          <w:sz w:val="28"/>
          <w:szCs w:val="28"/>
        </w:rPr>
        <w:t xml:space="preserve"> В.Е.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 зв’язку із припиненням повноважень члена Вищої ради правосуддя </w:t>
      </w:r>
      <w:proofErr w:type="spellStart"/>
      <w:r w:rsidRPr="0042294B">
        <w:rPr>
          <w:rFonts w:ascii="Times New Roman" w:hAnsi="Times New Roman"/>
          <w:color w:val="000000" w:themeColor="text1"/>
          <w:sz w:val="28"/>
          <w:szCs w:val="28"/>
        </w:rPr>
        <w:t>Беляневича</w:t>
      </w:r>
      <w:proofErr w:type="spellEnd"/>
      <w:r w:rsidRPr="0042294B">
        <w:rPr>
          <w:rFonts w:ascii="Times New Roman" w:hAnsi="Times New Roman"/>
          <w:color w:val="000000" w:themeColor="text1"/>
          <w:sz w:val="28"/>
          <w:szCs w:val="28"/>
        </w:rPr>
        <w:t xml:space="preserve"> В.Е. скарги перерозподілено та відповідно до протоколу повторного автоматизованого визначення члена Вищої ради правосуддя по справі та протоколу передачі справи раніше визначеному члену Вищої ради </w:t>
      </w:r>
      <w:r w:rsidRPr="0042294B">
        <w:rPr>
          <w:rFonts w:ascii="Times New Roman" w:hAnsi="Times New Roman"/>
          <w:color w:val="000000" w:themeColor="text1"/>
          <w:sz w:val="28"/>
          <w:szCs w:val="28"/>
        </w:rPr>
        <w:lastRenderedPageBreak/>
        <w:t>правосуддя від 7 травня 2019 року доповідачем щодо вказаних скарг визначено члена Вищої ради правосуддя Іванову Л.Б.</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Скарга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та скарга його представника – адвоката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подані з дотриманням вимог, визначених Законом України «Про Вищу раду правосуддя».</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його представник – адвокат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представник скаржника – адвокат Грекова Л.В. повідомлені про дату, час і місце розгляду скарги. Зазначену інформацію </w:t>
      </w:r>
      <w:proofErr w:type="spellStart"/>
      <w:r w:rsidRPr="0042294B">
        <w:rPr>
          <w:rFonts w:ascii="Times New Roman" w:hAnsi="Times New Roman"/>
          <w:color w:val="000000" w:themeColor="text1"/>
          <w:sz w:val="28"/>
          <w:szCs w:val="28"/>
        </w:rPr>
        <w:t>оприлюднено</w:t>
      </w:r>
      <w:proofErr w:type="spellEnd"/>
      <w:r w:rsidRPr="0042294B">
        <w:rPr>
          <w:rFonts w:ascii="Times New Roman" w:hAnsi="Times New Roman"/>
          <w:color w:val="000000" w:themeColor="text1"/>
          <w:sz w:val="28"/>
          <w:szCs w:val="28"/>
        </w:rPr>
        <w:t xml:space="preserve"> на офіційному </w:t>
      </w:r>
      <w:proofErr w:type="spellStart"/>
      <w:r w:rsidRPr="0042294B">
        <w:rPr>
          <w:rFonts w:ascii="Times New Roman" w:hAnsi="Times New Roman"/>
          <w:color w:val="000000" w:themeColor="text1"/>
          <w:sz w:val="28"/>
          <w:szCs w:val="28"/>
        </w:rPr>
        <w:t>веб-сайті</w:t>
      </w:r>
      <w:proofErr w:type="spellEnd"/>
      <w:r w:rsidRPr="0042294B">
        <w:rPr>
          <w:rFonts w:ascii="Times New Roman" w:hAnsi="Times New Roman"/>
          <w:color w:val="000000" w:themeColor="text1"/>
          <w:sz w:val="28"/>
          <w:szCs w:val="28"/>
        </w:rPr>
        <w:t xml:space="preserve"> Вищої ради правосуддя. У засідання Вищої ради правосуддя прибув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його представник – адвокат Щербань Д.М. та представник скаржника – адвокат Грекова Л.В., яка залишила засідання до початку розгляду скарг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та його представника.</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Вища рада правосуддя, вивчивши подані скарги, дослідивши матеріали дисциплінарної справи стосовно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заслухавши доповідача – члена Вищої ради правосуддя Іванову Л.Б., суддю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його представника, дійшла висновку, що рішення Дисциплінарної палати від 23</w:t>
      </w:r>
      <w:r w:rsidR="001B3F45" w:rsidRPr="0042294B">
        <w:rPr>
          <w:rFonts w:ascii="Times New Roman" w:hAnsi="Times New Roman"/>
          <w:color w:val="000000" w:themeColor="text1"/>
          <w:sz w:val="28"/>
          <w:szCs w:val="28"/>
        </w:rPr>
        <w:t> </w:t>
      </w:r>
      <w:r w:rsidRPr="0042294B">
        <w:rPr>
          <w:rFonts w:ascii="Times New Roman" w:hAnsi="Times New Roman"/>
          <w:color w:val="000000" w:themeColor="text1"/>
          <w:sz w:val="28"/>
          <w:szCs w:val="28"/>
        </w:rPr>
        <w:t>січня 2019 року № 181/3дп/15-19 підлягає зміні з огляду на таке.</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До Вищої ради правосуддя 15 червня 2018 року за вхідним      № 638/0/13-18 надійшла скарга товариства з обмеженою відповідальністю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(далі –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подана адвокатом Грековою Л.В., на дії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w:t>
      </w:r>
      <w:r w:rsidR="001B3F45" w:rsidRPr="0042294B">
        <w:rPr>
          <w:rFonts w:ascii="Times New Roman" w:hAnsi="Times New Roman"/>
          <w:color w:val="000000" w:themeColor="text1"/>
          <w:sz w:val="28"/>
          <w:szCs w:val="28"/>
        </w:rPr>
        <w:t>під час здійснення</w:t>
      </w:r>
      <w:r w:rsidRPr="0042294B">
        <w:rPr>
          <w:rFonts w:ascii="Times New Roman" w:hAnsi="Times New Roman"/>
          <w:color w:val="000000" w:themeColor="text1"/>
          <w:sz w:val="28"/>
          <w:szCs w:val="28"/>
        </w:rPr>
        <w:t xml:space="preserve"> правосуддя у справі № 496/2239/18. </w:t>
      </w:r>
    </w:p>
    <w:p w:rsidR="00B826B7" w:rsidRPr="0042294B" w:rsidRDefault="001B3F45"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Скаржник зазначав</w:t>
      </w:r>
      <w:r w:rsidR="00B826B7" w:rsidRPr="0042294B">
        <w:rPr>
          <w:rFonts w:ascii="Times New Roman" w:hAnsi="Times New Roman"/>
          <w:color w:val="000000" w:themeColor="text1"/>
          <w:sz w:val="28"/>
          <w:szCs w:val="28"/>
        </w:rPr>
        <w:t xml:space="preserve">, що суддя </w:t>
      </w:r>
      <w:proofErr w:type="spellStart"/>
      <w:r w:rsidR="00B826B7" w:rsidRPr="0042294B">
        <w:rPr>
          <w:rFonts w:ascii="Times New Roman" w:hAnsi="Times New Roman"/>
          <w:color w:val="000000" w:themeColor="text1"/>
          <w:sz w:val="28"/>
          <w:szCs w:val="28"/>
        </w:rPr>
        <w:t>Горяєв</w:t>
      </w:r>
      <w:proofErr w:type="spellEnd"/>
      <w:r w:rsidR="00B826B7" w:rsidRPr="0042294B">
        <w:rPr>
          <w:rFonts w:ascii="Times New Roman" w:hAnsi="Times New Roman"/>
          <w:color w:val="000000" w:themeColor="text1"/>
          <w:sz w:val="28"/>
          <w:szCs w:val="28"/>
        </w:rPr>
        <w:t xml:space="preserve"> І.М. постановив незаконну ухвалу про забезпечення позову від 11 червня 2018 року у цій справі шляхом накладення арешту на нерухоме майно та передачі цього майна на зберігання приватному підприємству і такі заходи забезпечення позову були </w:t>
      </w:r>
      <w:proofErr w:type="spellStart"/>
      <w:r w:rsidR="00B826B7" w:rsidRPr="0042294B">
        <w:rPr>
          <w:rFonts w:ascii="Times New Roman" w:hAnsi="Times New Roman"/>
          <w:color w:val="000000" w:themeColor="text1"/>
          <w:sz w:val="28"/>
          <w:szCs w:val="28"/>
        </w:rPr>
        <w:t>неспівмірними</w:t>
      </w:r>
      <w:proofErr w:type="spellEnd"/>
      <w:r w:rsidR="00B826B7" w:rsidRPr="0042294B">
        <w:rPr>
          <w:rFonts w:ascii="Times New Roman" w:hAnsi="Times New Roman"/>
          <w:color w:val="000000" w:themeColor="text1"/>
          <w:sz w:val="28"/>
          <w:szCs w:val="28"/>
        </w:rPr>
        <w:t xml:space="preserve"> із заявленими позовними вимогами. Вказував, що такими діями суддя </w:t>
      </w:r>
      <w:proofErr w:type="spellStart"/>
      <w:r w:rsidR="00B826B7" w:rsidRPr="0042294B">
        <w:rPr>
          <w:rFonts w:ascii="Times New Roman" w:hAnsi="Times New Roman"/>
          <w:color w:val="000000" w:themeColor="text1"/>
          <w:sz w:val="28"/>
          <w:szCs w:val="28"/>
        </w:rPr>
        <w:t>Горяєв</w:t>
      </w:r>
      <w:proofErr w:type="spellEnd"/>
      <w:r w:rsidR="00B826B7" w:rsidRPr="0042294B">
        <w:rPr>
          <w:rFonts w:ascii="Times New Roman" w:hAnsi="Times New Roman"/>
          <w:color w:val="000000" w:themeColor="text1"/>
          <w:sz w:val="28"/>
          <w:szCs w:val="28"/>
        </w:rPr>
        <w:t xml:space="preserve"> І.М. фактично сприяв незаконному захопленню нерухомого майна. Скаржник також зазначав, що на порушення вимог частини сьомої статті 153 Цивільного процесуального кодексу України (далі – ЦПК України) суддя </w:t>
      </w:r>
      <w:proofErr w:type="spellStart"/>
      <w:r w:rsidR="00B826B7" w:rsidRPr="0042294B">
        <w:rPr>
          <w:rFonts w:ascii="Times New Roman" w:hAnsi="Times New Roman"/>
          <w:color w:val="000000" w:themeColor="text1"/>
          <w:sz w:val="28"/>
          <w:szCs w:val="28"/>
        </w:rPr>
        <w:t>Горяєв</w:t>
      </w:r>
      <w:proofErr w:type="spellEnd"/>
      <w:r w:rsidR="00B826B7" w:rsidRPr="0042294B">
        <w:rPr>
          <w:rFonts w:ascii="Times New Roman" w:hAnsi="Times New Roman"/>
          <w:color w:val="000000" w:themeColor="text1"/>
          <w:sz w:val="28"/>
          <w:szCs w:val="28"/>
        </w:rPr>
        <w:t xml:space="preserve"> І.М. не вирішив питання зустрічного забезпечення позову. Крім того, стверджував, що ухвали про забезпечення позову та відкриття провадження у справі № 496/2239/18 від 11 червня 2018 року не були надіслані до Єдиного державного реєстру судових рішень. </w:t>
      </w:r>
    </w:p>
    <w:p w:rsidR="00B826B7" w:rsidRPr="0042294B" w:rsidRDefault="00B826B7" w:rsidP="00B826B7">
      <w:pPr>
        <w:shd w:val="clear" w:color="auto" w:fill="FFFFFF"/>
        <w:spacing w:after="0" w:line="240" w:lineRule="auto"/>
        <w:ind w:right="-6"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Рішенням Третьої Дисциплінарної палати Вищої ради правосуддя від 23 січня 2019 року № 181/3дп/15-19 суддю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притягнуто до дисциплінарної відповідальності та застосовано до нього дисциплінарне стягнення у виді подання про звільнення судді з посади. </w:t>
      </w:r>
    </w:p>
    <w:p w:rsidR="00B826B7" w:rsidRPr="0042294B" w:rsidRDefault="00B826B7" w:rsidP="00B826B7">
      <w:pPr>
        <w:widowControl w:val="0"/>
        <w:tabs>
          <w:tab w:val="left" w:pos="851"/>
        </w:tabs>
        <w:spacing w:after="0" w:line="240" w:lineRule="auto"/>
        <w:ind w:firstLine="709"/>
        <w:jc w:val="both"/>
        <w:rPr>
          <w:rFonts w:ascii="Times New Roman" w:eastAsia="Times New Roman" w:hAnsi="Times New Roman"/>
          <w:bCs/>
          <w:color w:val="000000" w:themeColor="text1"/>
          <w:sz w:val="28"/>
          <w:szCs w:val="28"/>
          <w:lang w:eastAsia="uk-UA" w:bidi="uk-UA"/>
        </w:rPr>
      </w:pPr>
      <w:r w:rsidRPr="0042294B">
        <w:rPr>
          <w:rFonts w:ascii="Times New Roman" w:eastAsia="Times New Roman" w:hAnsi="Times New Roman"/>
          <w:bCs/>
          <w:color w:val="000000" w:themeColor="text1"/>
          <w:sz w:val="28"/>
          <w:szCs w:val="28"/>
          <w:lang w:eastAsia="uk-UA" w:bidi="uk-UA"/>
        </w:rPr>
        <w:t xml:space="preserve">Зі змісту оскаржуваного рішення Дисциплінарної палати вбачається, що </w:t>
      </w:r>
      <w:r w:rsidR="001B3F45" w:rsidRPr="0042294B">
        <w:rPr>
          <w:rFonts w:ascii="Times New Roman" w:eastAsia="Times New Roman" w:hAnsi="Times New Roman"/>
          <w:bCs/>
          <w:color w:val="000000" w:themeColor="text1"/>
          <w:sz w:val="28"/>
          <w:szCs w:val="28"/>
          <w:lang w:eastAsia="uk-UA" w:bidi="uk-UA"/>
        </w:rPr>
        <w:t>д</w:t>
      </w:r>
      <w:r w:rsidRPr="0042294B">
        <w:rPr>
          <w:rFonts w:ascii="Times New Roman" w:eastAsia="Times New Roman" w:hAnsi="Times New Roman"/>
          <w:bCs/>
          <w:color w:val="000000" w:themeColor="text1"/>
          <w:sz w:val="28"/>
          <w:szCs w:val="28"/>
          <w:lang w:eastAsia="uk-UA" w:bidi="uk-UA"/>
        </w:rPr>
        <w:t>исциплінарн</w:t>
      </w:r>
      <w:r w:rsidR="001B3F45" w:rsidRPr="0042294B">
        <w:rPr>
          <w:rFonts w:ascii="Times New Roman" w:eastAsia="Times New Roman" w:hAnsi="Times New Roman"/>
          <w:bCs/>
          <w:color w:val="000000" w:themeColor="text1"/>
          <w:sz w:val="28"/>
          <w:szCs w:val="28"/>
          <w:lang w:eastAsia="uk-UA" w:bidi="uk-UA"/>
        </w:rPr>
        <w:t>им</w:t>
      </w:r>
      <w:r w:rsidRPr="0042294B">
        <w:rPr>
          <w:rFonts w:ascii="Times New Roman" w:eastAsia="Times New Roman" w:hAnsi="Times New Roman"/>
          <w:bCs/>
          <w:color w:val="000000" w:themeColor="text1"/>
          <w:sz w:val="28"/>
          <w:szCs w:val="28"/>
          <w:lang w:eastAsia="uk-UA" w:bidi="uk-UA"/>
        </w:rPr>
        <w:t xml:space="preserve"> </w:t>
      </w:r>
      <w:r w:rsidR="001B3F45" w:rsidRPr="0042294B">
        <w:rPr>
          <w:rFonts w:ascii="Times New Roman" w:eastAsia="Times New Roman" w:hAnsi="Times New Roman"/>
          <w:bCs/>
          <w:color w:val="000000" w:themeColor="text1"/>
          <w:sz w:val="28"/>
          <w:szCs w:val="28"/>
          <w:lang w:eastAsia="uk-UA" w:bidi="uk-UA"/>
        </w:rPr>
        <w:t xml:space="preserve">органом </w:t>
      </w:r>
      <w:r w:rsidRPr="0042294B">
        <w:rPr>
          <w:rFonts w:ascii="Times New Roman" w:hAnsi="Times New Roman"/>
          <w:color w:val="000000" w:themeColor="text1"/>
          <w:sz w:val="28"/>
          <w:szCs w:val="28"/>
        </w:rPr>
        <w:t xml:space="preserve">за результатами розгляду дисциплінарної справи </w:t>
      </w:r>
      <w:r w:rsidRPr="0042294B">
        <w:rPr>
          <w:rFonts w:ascii="Times New Roman" w:eastAsia="Times New Roman" w:hAnsi="Times New Roman"/>
          <w:bCs/>
          <w:color w:val="000000" w:themeColor="text1"/>
          <w:sz w:val="28"/>
          <w:szCs w:val="28"/>
          <w:lang w:eastAsia="uk-UA" w:bidi="uk-UA"/>
        </w:rPr>
        <w:t>встановлено такі обставини.</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6 червня 2018 року </w:t>
      </w:r>
      <w:r w:rsidR="0037000D"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через свого представника – адвоката </w:t>
      </w:r>
      <w:r w:rsidR="00045871" w:rsidRPr="0042294B">
        <w:rPr>
          <w:rFonts w:ascii="Times New Roman" w:hAnsi="Times New Roman"/>
          <w:color w:val="000000" w:themeColor="text1"/>
          <w:sz w:val="28"/>
          <w:szCs w:val="28"/>
        </w:rPr>
        <w:t>ОСОБА_2</w:t>
      </w:r>
      <w:r w:rsidRPr="0042294B">
        <w:rPr>
          <w:rFonts w:ascii="Times New Roman" w:hAnsi="Times New Roman"/>
          <w:color w:val="000000" w:themeColor="text1"/>
          <w:sz w:val="28"/>
          <w:szCs w:val="28"/>
        </w:rPr>
        <w:t xml:space="preserve"> звернулась до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з позовом до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третя особа – товариство з обмеженою </w:t>
      </w:r>
      <w:r w:rsidRPr="0042294B">
        <w:rPr>
          <w:rFonts w:ascii="Times New Roman" w:hAnsi="Times New Roman"/>
          <w:color w:val="000000" w:themeColor="text1"/>
          <w:sz w:val="28"/>
          <w:szCs w:val="28"/>
        </w:rPr>
        <w:lastRenderedPageBreak/>
        <w:t>відповідальністю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(далі –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про витребування на користь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у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нерухомого майна, а саме: будівлі комплексу дорожнього сервісу за адресою: </w:t>
      </w:r>
      <w:r w:rsidR="00045871" w:rsidRPr="0042294B">
        <w:rPr>
          <w:rFonts w:ascii="Times New Roman" w:hAnsi="Times New Roman"/>
          <w:color w:val="000000" w:themeColor="text1"/>
          <w:sz w:val="28"/>
          <w:szCs w:val="28"/>
        </w:rPr>
        <w:t>АДРЕСА_1</w:t>
      </w:r>
      <w:r w:rsidRPr="0042294B">
        <w:rPr>
          <w:rFonts w:ascii="Times New Roman" w:hAnsi="Times New Roman"/>
          <w:color w:val="000000" w:themeColor="text1"/>
          <w:sz w:val="28"/>
          <w:szCs w:val="28"/>
        </w:rPr>
        <w:t>; земельної ділянки, розташованої за цією самою адресою, загальною площею 14,9577 га; зобов’язання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звільнити вказане нерухоме майно та земельну ділянку.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Справі було присвоєно номер 496/2239/18 (провадження № 2/496/1253/18) та передано на розгляд судді </w:t>
      </w:r>
      <w:proofErr w:type="spellStart"/>
      <w:r w:rsidRPr="0042294B">
        <w:rPr>
          <w:rFonts w:ascii="Times New Roman" w:hAnsi="Times New Roman"/>
          <w:color w:val="000000" w:themeColor="text1"/>
          <w:sz w:val="28"/>
          <w:szCs w:val="28"/>
        </w:rPr>
        <w:t>Горяєву</w:t>
      </w:r>
      <w:proofErr w:type="spellEnd"/>
      <w:r w:rsidRPr="0042294B">
        <w:rPr>
          <w:rFonts w:ascii="Times New Roman" w:hAnsi="Times New Roman"/>
          <w:color w:val="000000" w:themeColor="text1"/>
          <w:sz w:val="28"/>
          <w:szCs w:val="28"/>
        </w:rPr>
        <w:t xml:space="preserve"> І.М.</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Позовні вимоги були обґрунтовані тим, що 1 грудня 2010 року між публічним акціонерним товариством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(далі –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та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було укладено кредитний договір № 021-11-10, відповідно до умов якого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отримало у кредит грошові кошти в сумі 15 000 000 гривень. Для забезпечення виконання зобов’язань за кредитним договором між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та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було укладено договір іпотеки, за яким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передало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в іпотеку нерухоме майно (будівлю комплексу дорожнього сервісу за адресою: </w:t>
      </w:r>
      <w:r w:rsidR="00045871" w:rsidRPr="0042294B">
        <w:rPr>
          <w:rFonts w:ascii="Times New Roman" w:hAnsi="Times New Roman"/>
          <w:color w:val="000000" w:themeColor="text1"/>
          <w:sz w:val="28"/>
          <w:szCs w:val="28"/>
        </w:rPr>
        <w:t>АДРЕСА_1</w:t>
      </w:r>
      <w:r w:rsidRPr="0042294B">
        <w:rPr>
          <w:rFonts w:ascii="Times New Roman" w:hAnsi="Times New Roman"/>
          <w:color w:val="000000" w:themeColor="text1"/>
          <w:sz w:val="28"/>
          <w:szCs w:val="28"/>
        </w:rPr>
        <w:t xml:space="preserve">, загальною площею 11 217,5 кв. м; земельну ділянку, розташовану за адресою: </w:t>
      </w:r>
      <w:r w:rsidR="006C4F9D" w:rsidRPr="0042294B">
        <w:rPr>
          <w:rFonts w:ascii="Times New Roman" w:hAnsi="Times New Roman"/>
          <w:color w:val="000000" w:themeColor="text1"/>
          <w:sz w:val="28"/>
          <w:szCs w:val="28"/>
        </w:rPr>
        <w:t>АДРЕСА_1</w:t>
      </w:r>
      <w:r w:rsidRPr="0042294B">
        <w:rPr>
          <w:rFonts w:ascii="Times New Roman" w:hAnsi="Times New Roman"/>
          <w:color w:val="000000" w:themeColor="text1"/>
          <w:sz w:val="28"/>
          <w:szCs w:val="28"/>
        </w:rPr>
        <w:t>, загальною площею 14,9577 га) загальною вартістю 50 000</w:t>
      </w:r>
      <w:r w:rsidR="001B3F45" w:rsidRPr="0042294B">
        <w:rPr>
          <w:rFonts w:ascii="Times New Roman" w:hAnsi="Times New Roman"/>
          <w:color w:val="000000" w:themeColor="text1"/>
          <w:sz w:val="28"/>
          <w:szCs w:val="28"/>
        </w:rPr>
        <w:t> </w:t>
      </w:r>
      <w:r w:rsidRPr="0042294B">
        <w:rPr>
          <w:rFonts w:ascii="Times New Roman" w:hAnsi="Times New Roman"/>
          <w:color w:val="000000" w:themeColor="text1"/>
          <w:sz w:val="28"/>
          <w:szCs w:val="28"/>
        </w:rPr>
        <w:t>000</w:t>
      </w:r>
      <w:r w:rsidR="001B3F45" w:rsidRPr="0042294B">
        <w:rPr>
          <w:rFonts w:ascii="Times New Roman" w:hAnsi="Times New Roman"/>
          <w:color w:val="000000" w:themeColor="text1"/>
          <w:sz w:val="28"/>
          <w:szCs w:val="28"/>
        </w:rPr>
        <w:t> </w:t>
      </w:r>
      <w:r w:rsidRPr="0042294B">
        <w:rPr>
          <w:rFonts w:ascii="Times New Roman" w:hAnsi="Times New Roman"/>
          <w:color w:val="000000" w:themeColor="text1"/>
          <w:sz w:val="28"/>
          <w:szCs w:val="28"/>
        </w:rPr>
        <w:t xml:space="preserve">гривень. Також між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та </w:t>
      </w:r>
      <w:r w:rsidR="0037000D"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було укладено договір поруки від 1 грудня 2010 року № 021-11-10/4, відповідно до якого </w:t>
      </w:r>
      <w:r w:rsidR="0037000D"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зобов’язалась відповідати за своєчасне виконання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боргових зобов’язань перед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за кредитним договором.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24 липня 2015 року між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та товариством з обмеженою відповідальністю «Фінансова компанія «Централ Капітал» (далі – ТОВ «ФК «Централ Капітал») було укладено договір відступлення прав вимоги (договір </w:t>
      </w:r>
      <w:proofErr w:type="spellStart"/>
      <w:r w:rsidRPr="0042294B">
        <w:rPr>
          <w:rFonts w:ascii="Times New Roman" w:hAnsi="Times New Roman"/>
          <w:color w:val="000000" w:themeColor="text1"/>
          <w:sz w:val="28"/>
          <w:szCs w:val="28"/>
        </w:rPr>
        <w:t>цесії</w:t>
      </w:r>
      <w:proofErr w:type="spellEnd"/>
      <w:r w:rsidRPr="0042294B">
        <w:rPr>
          <w:rFonts w:ascii="Times New Roman" w:hAnsi="Times New Roman"/>
          <w:color w:val="000000" w:themeColor="text1"/>
          <w:sz w:val="28"/>
          <w:szCs w:val="28"/>
        </w:rPr>
        <w:t>) за кредитним договором від 1 грудня 2010 року.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Постановою Правління Національного банку України від 17 березня 2016 року № 169 та рішенням виконавчої дирекції Фонду гарантування вкладів фізичних осіб від 17 березня 2016 року № 368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віднесено до категорії неплатоспроможних та делеговано Фонду гарантування вкладів фізичних осіб повноваження тимчасового адміністратора банку.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 результатами перевірки правочинів (договорів), вчинених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xml:space="preserve">» протягом одного року до дня запровадження тимчасової адміністрації, на підставі наказу уповноваженої особи Фонду гарантування вкладів фізичних осіб на здійснення тимчасової адміністрації банку від 15 квітня 2016 року № 60 визнано нікчемним договір відступлення прав вимоги (договір </w:t>
      </w:r>
      <w:proofErr w:type="spellStart"/>
      <w:r w:rsidRPr="0042294B">
        <w:rPr>
          <w:rFonts w:ascii="Times New Roman" w:hAnsi="Times New Roman"/>
          <w:color w:val="000000" w:themeColor="text1"/>
          <w:sz w:val="28"/>
          <w:szCs w:val="28"/>
        </w:rPr>
        <w:t>цесії</w:t>
      </w:r>
      <w:proofErr w:type="spellEnd"/>
      <w:r w:rsidRPr="0042294B">
        <w:rPr>
          <w:rFonts w:ascii="Times New Roman" w:hAnsi="Times New Roman"/>
          <w:color w:val="000000" w:themeColor="text1"/>
          <w:sz w:val="28"/>
          <w:szCs w:val="28"/>
        </w:rPr>
        <w:t xml:space="preserve">) від 24 липня 2015 року, укладений між ПАТ «Банк </w:t>
      </w:r>
      <w:proofErr w:type="spellStart"/>
      <w:r w:rsidRPr="0042294B">
        <w:rPr>
          <w:rFonts w:ascii="Times New Roman" w:hAnsi="Times New Roman"/>
          <w:color w:val="000000" w:themeColor="text1"/>
          <w:sz w:val="28"/>
          <w:szCs w:val="28"/>
        </w:rPr>
        <w:t>Петрокоммерц-Україна</w:t>
      </w:r>
      <w:proofErr w:type="spellEnd"/>
      <w:r w:rsidRPr="0042294B">
        <w:rPr>
          <w:rFonts w:ascii="Times New Roman" w:hAnsi="Times New Roman"/>
          <w:color w:val="000000" w:themeColor="text1"/>
          <w:sz w:val="28"/>
          <w:szCs w:val="28"/>
        </w:rPr>
        <w:t>» та ТОВ «ФК «Централ Капітал».</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Позивач вказував, що ТОВ «ФК «Централ Капітал» оскаржило наказ від 15 квітня 2016 року № 60 до суду. Постановою Великої Палати Верховного Суду від 11 квітня 2018 року (далі – Постанова) у справі № 910/12294/16 </w:t>
      </w:r>
      <w:r w:rsidRPr="0042294B">
        <w:rPr>
          <w:rFonts w:ascii="Times New Roman" w:hAnsi="Times New Roman"/>
          <w:color w:val="000000" w:themeColor="text1"/>
          <w:sz w:val="28"/>
          <w:szCs w:val="28"/>
        </w:rPr>
        <w:lastRenderedPageBreak/>
        <w:t>постановлено нове рішення про відмову в задоволенні позову ТОВ «ФК «Централ Капітал» про визнання недійсним одностороннього правочину (наказ від 15 квітня 2016 року № 60) та визнання відсутнім права.</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У пункті 70 Постанови зазначено, що правочин є нікчемним відповідно до </w:t>
      </w:r>
      <w:hyperlink r:id="rId7" w:tgtFrame="_blank" w:tooltip="Про банки і банківську діяльність; нормативно-правовий акт № 2121-III від 07.12.2000" w:history="1">
        <w:r w:rsidRPr="0042294B">
          <w:rPr>
            <w:rFonts w:ascii="Times New Roman" w:hAnsi="Times New Roman"/>
            <w:color w:val="000000" w:themeColor="text1"/>
            <w:sz w:val="28"/>
            <w:szCs w:val="28"/>
          </w:rPr>
          <w:t>закону</w:t>
        </w:r>
      </w:hyperlink>
      <w:r w:rsidRPr="0042294B">
        <w:rPr>
          <w:rFonts w:ascii="Times New Roman" w:hAnsi="Times New Roman"/>
          <w:color w:val="000000" w:themeColor="text1"/>
          <w:sz w:val="28"/>
          <w:szCs w:val="28"/>
        </w:rPr>
        <w:t>, а не наказу Банку, підписаного уповноваженою особою Фонду. Такий правочин є нікчемним з моменту укладення в силу закону (частина друга </w:t>
      </w:r>
      <w:hyperlink r:id="rId8" w:anchor="843253" w:tgtFrame="_blank" w:tooltip="Цивільний кодекс України; нормативно-правовий акт № 435-IV від 16.01.2003" w:history="1">
        <w:r w:rsidRPr="0042294B">
          <w:rPr>
            <w:rFonts w:ascii="Times New Roman" w:hAnsi="Times New Roman"/>
            <w:color w:val="000000" w:themeColor="text1"/>
            <w:sz w:val="28"/>
            <w:szCs w:val="28"/>
          </w:rPr>
          <w:t>статті 215 Цивільного кодексу України</w:t>
        </w:r>
      </w:hyperlink>
      <w:r w:rsidRPr="0042294B">
        <w:rPr>
          <w:rFonts w:ascii="Times New Roman" w:hAnsi="Times New Roman"/>
          <w:color w:val="000000" w:themeColor="text1"/>
          <w:sz w:val="28"/>
          <w:szCs w:val="28"/>
        </w:rPr>
        <w:t> та частина третя </w:t>
      </w:r>
      <w:hyperlink r:id="rId9" w:anchor="437" w:tgtFrame="_blank" w:tooltip="Про систему гарантування вкладів фізичних осіб; нормативно-правовий акт № 4452-VI від 23.02.2012" w:history="1">
        <w:r w:rsidRPr="0042294B">
          <w:rPr>
            <w:rFonts w:ascii="Times New Roman" w:hAnsi="Times New Roman"/>
            <w:color w:val="000000" w:themeColor="text1"/>
            <w:sz w:val="28"/>
            <w:szCs w:val="28"/>
          </w:rPr>
          <w:t>статті 38 Закону України «Про систему гарантування вкладів фізичних осіб»</w:t>
        </w:r>
      </w:hyperlink>
      <w:r w:rsidRPr="0042294B">
        <w:rPr>
          <w:rFonts w:ascii="Times New Roman" w:hAnsi="Times New Roman"/>
          <w:color w:val="000000" w:themeColor="text1"/>
          <w:sz w:val="28"/>
          <w:szCs w:val="28"/>
        </w:rPr>
        <w:t>) незалежно від того, чи була проведена передбачена частиною другою </w:t>
      </w:r>
      <w:hyperlink r:id="rId10" w:anchor="437" w:tgtFrame="_blank" w:tooltip="Про систему гарантування вкладів фізичних осіб; нормативно-правовий акт № 4452-VI від 23.02.2012" w:history="1">
        <w:r w:rsidRPr="0042294B">
          <w:rPr>
            <w:rFonts w:ascii="Times New Roman" w:hAnsi="Times New Roman"/>
            <w:color w:val="000000" w:themeColor="text1"/>
            <w:sz w:val="28"/>
            <w:szCs w:val="28"/>
          </w:rPr>
          <w:t>статті 38 цього Закону</w:t>
        </w:r>
      </w:hyperlink>
      <w:r w:rsidRPr="0042294B">
        <w:rPr>
          <w:rFonts w:ascii="Times New Roman" w:hAnsi="Times New Roman"/>
          <w:color w:val="000000" w:themeColor="text1"/>
          <w:sz w:val="28"/>
          <w:szCs w:val="28"/>
        </w:rPr>
        <w:t> перевірка правочинів Банку і виданий згаданий наказ. Наслідки нікчемності правочину також наступають для сторін в силу вимог закону. Наказ Банку не є підставою для застосування таких наслідків, тому не може вважатись одностороннім правочином, адже він не є підставою для виникнення цивільних прав та обов’язків ані у Банку, ані у іншої сторони правочину, віднесеного наказом до нікчемних. Такий наказ є внутрішнім розпорядчим документом Банку як суб’єкта господарювання, виданим керівником Банку в межах своїх повноважень. Таким чином, суд не оцінював доводів щодо нікчемності відповідних договорів по суті.</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Обов’язок повернути все одержане за нікчемним договором (правочином) виникає в силу вимог </w:t>
      </w:r>
      <w:hyperlink r:id="rId11" w:tgtFrame="_blank" w:tooltip="Про банки і банківську діяльність; нормативно-правовий акт № 2121-III від 07.12.2000" w:history="1">
        <w:r w:rsidRPr="0042294B">
          <w:rPr>
            <w:rFonts w:ascii="Times New Roman" w:hAnsi="Times New Roman"/>
            <w:color w:val="000000" w:themeColor="text1"/>
            <w:sz w:val="28"/>
            <w:szCs w:val="28"/>
          </w:rPr>
          <w:t>закону</w:t>
        </w:r>
      </w:hyperlink>
      <w:r w:rsidRPr="0042294B">
        <w:rPr>
          <w:rFonts w:ascii="Times New Roman" w:hAnsi="Times New Roman"/>
          <w:color w:val="000000" w:themeColor="text1"/>
          <w:sz w:val="28"/>
          <w:szCs w:val="28"/>
        </w:rPr>
        <w:t>, а не наказу чи повідомлення банку, тому позовна вимога про визнання недійсним наказу № 60 не підлягає задоволенню (пункт 76 Постанови).</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Враховуючи наведені обставини, позивач зазначав, що ТОВ «ФК «Централ Капітал», розуміючи обов’язок повернення отриманого за нікчемним договором нерухомого майна, вчинило дії щодо подальшого відчуження такого майна, а саме 6 березня 2018 року уклало з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договори купівлі-продажу вказаних вище земельної ділянки та будівлі комплексу дорожнього сервісу, які належать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Як встановлено Дисциплінарною палатою,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звернулась до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як засновник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Обґрунтовуючи порушення її прав та наявність підстав для звернення із позовом до суду, позивач вказувала, що ТОВ «ФК «Централ Капітал» не набуло прав </w:t>
      </w:r>
      <w:proofErr w:type="spellStart"/>
      <w:r w:rsidRPr="0042294B">
        <w:rPr>
          <w:rFonts w:ascii="Times New Roman" w:hAnsi="Times New Roman"/>
          <w:color w:val="000000" w:themeColor="text1"/>
          <w:sz w:val="28"/>
          <w:szCs w:val="28"/>
        </w:rPr>
        <w:t>іпотекодержателя</w:t>
      </w:r>
      <w:proofErr w:type="spellEnd"/>
      <w:r w:rsidRPr="0042294B">
        <w:rPr>
          <w:rFonts w:ascii="Times New Roman" w:hAnsi="Times New Roman"/>
          <w:color w:val="000000" w:themeColor="text1"/>
          <w:sz w:val="28"/>
          <w:szCs w:val="28"/>
        </w:rPr>
        <w:t xml:space="preserve"> за договором іпотеки, не мало права укладати договори купівлі-продажу, а тому спірне нерухоме майно та земельна ділянка незаконно вибули із володіння його власника </w:t>
      </w:r>
      <w:r w:rsidR="00661B26" w:rsidRPr="0042294B">
        <w:rPr>
          <w:rFonts w:ascii="Times New Roman" w:hAnsi="Times New Roman"/>
          <w:color w:val="000000" w:themeColor="text1"/>
          <w:sz w:val="28"/>
          <w:szCs w:val="28"/>
        </w:rPr>
        <w:t xml:space="preserve">– </w:t>
      </w:r>
      <w:r w:rsidRPr="0042294B">
        <w:rPr>
          <w:rFonts w:ascii="Times New Roman" w:hAnsi="Times New Roman"/>
          <w:color w:val="000000" w:themeColor="text1"/>
          <w:sz w:val="28"/>
          <w:szCs w:val="28"/>
        </w:rPr>
        <w:t>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 зв’язку із незаконним вибуттям майна, яким забезпечено виконання зобов’язань за кредитним договором, а також відповідно до договору поруки тягар виконання зобов’язань за кредитним договором покладено і на позивача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що, на її думку, свідчить про виникнення правових підстав для звернення з позовом до суду.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Як свідчить зміст позовних вимог,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просила, зокрема,  витребувати спірне майно на користь третьої особи –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Разом із позовною заявою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адвокат позивача </w:t>
      </w:r>
      <w:r w:rsidR="00045871" w:rsidRPr="0042294B">
        <w:rPr>
          <w:rFonts w:ascii="Times New Roman" w:hAnsi="Times New Roman"/>
          <w:color w:val="000000" w:themeColor="text1"/>
          <w:sz w:val="28"/>
          <w:szCs w:val="28"/>
        </w:rPr>
        <w:t>ОСОБА_2</w:t>
      </w:r>
      <w:r w:rsidRPr="0042294B">
        <w:rPr>
          <w:rFonts w:ascii="Times New Roman" w:hAnsi="Times New Roman"/>
          <w:color w:val="000000" w:themeColor="text1"/>
          <w:sz w:val="28"/>
          <w:szCs w:val="28"/>
        </w:rPr>
        <w:t xml:space="preserve"> подав заяву про забезпечення позову шляхом накладення арешту на нерухоме майно (будівля комплексу дорожнього сервісу та земельна ділянка) та передачі </w:t>
      </w:r>
      <w:r w:rsidRPr="0042294B">
        <w:rPr>
          <w:rFonts w:ascii="Times New Roman" w:hAnsi="Times New Roman"/>
          <w:color w:val="000000" w:themeColor="text1"/>
          <w:sz w:val="28"/>
          <w:szCs w:val="28"/>
        </w:rPr>
        <w:lastRenderedPageBreak/>
        <w:t xml:space="preserve">вказаного нерухомого майна на зберігання приватному підприємству «Спрут» (далі – ПП «Спрут»). Як встановлено Дисциплінарною палатою, вказана заява </w:t>
      </w:r>
      <w:bookmarkStart w:id="0" w:name="_GoBack"/>
      <w:bookmarkEnd w:id="0"/>
      <w:r w:rsidRPr="0042294B">
        <w:rPr>
          <w:rFonts w:ascii="Times New Roman" w:hAnsi="Times New Roman"/>
          <w:color w:val="000000" w:themeColor="text1"/>
          <w:sz w:val="28"/>
          <w:szCs w:val="28"/>
        </w:rPr>
        <w:t>не містила пропозиції щодо зустрічного забезпечення.</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Заяву про забезпечення позову обґрунтовано тим, що відповідно до Державного реєстру речових прав на нерухоме майно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є власником спірного майна, має всі можливості вільно розпоряджатися цим майном з метою ухилення від виконання можливого рішення суду. Директор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неодноразово зазначав, що не має наміру проводити господарську діяльність, а планує отримати якомога більше коштів від продажу нерухомого майна.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є номінальним власником нерухомого майна (за нікчемними договорами купівлі-продажу), заблокувало та фактично зупинило діяльність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використовує його майно, споживає комунальні послуги, рахунки за які </w:t>
      </w:r>
      <w:r w:rsidR="00661B26" w:rsidRPr="0042294B">
        <w:rPr>
          <w:rFonts w:ascii="Times New Roman" w:hAnsi="Times New Roman"/>
          <w:color w:val="000000" w:themeColor="text1"/>
          <w:sz w:val="28"/>
          <w:szCs w:val="28"/>
        </w:rPr>
        <w:t xml:space="preserve">виставляються </w:t>
      </w:r>
      <w:r w:rsidR="00BB61C3" w:rsidRPr="0042294B">
        <w:rPr>
          <w:rFonts w:ascii="Times New Roman" w:hAnsi="Times New Roman"/>
          <w:color w:val="000000" w:themeColor="text1"/>
          <w:sz w:val="28"/>
          <w:szCs w:val="28"/>
        </w:rPr>
        <w:t xml:space="preserve">      </w:t>
      </w:r>
      <w:r w:rsidR="00661B26" w:rsidRPr="0042294B">
        <w:rPr>
          <w:rFonts w:ascii="Times New Roman" w:hAnsi="Times New Roman"/>
          <w:color w:val="000000" w:themeColor="text1"/>
          <w:sz w:val="28"/>
          <w:szCs w:val="28"/>
        </w:rPr>
        <w:t>ТОВ «</w:t>
      </w:r>
      <w:proofErr w:type="spellStart"/>
      <w:r w:rsidR="00661B26" w:rsidRPr="0042294B">
        <w:rPr>
          <w:rFonts w:ascii="Times New Roman" w:hAnsi="Times New Roman"/>
          <w:color w:val="000000" w:themeColor="text1"/>
          <w:sz w:val="28"/>
          <w:szCs w:val="28"/>
        </w:rPr>
        <w:t>Рубікон-</w:t>
      </w:r>
      <w:r w:rsidRPr="0042294B">
        <w:rPr>
          <w:rFonts w:ascii="Times New Roman" w:hAnsi="Times New Roman"/>
          <w:color w:val="000000" w:themeColor="text1"/>
          <w:sz w:val="28"/>
          <w:szCs w:val="28"/>
        </w:rPr>
        <w:t>ІІ</w:t>
      </w:r>
      <w:proofErr w:type="spellEnd"/>
      <w:r w:rsidRPr="0042294B">
        <w:rPr>
          <w:rFonts w:ascii="Times New Roman" w:hAnsi="Times New Roman"/>
          <w:color w:val="000000" w:themeColor="text1"/>
          <w:sz w:val="28"/>
          <w:szCs w:val="28"/>
        </w:rPr>
        <w:t>». Вказаними діями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спричиняє збитки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За наведених обставин позивач вважала за необхідне накласти арешт на спірне нерухоме майно та передати його на зберігання незалежній ліцензованій охоронній фірмі, яка забезпечить збереження нерухомого майна.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Ухвалою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11 червня 2018 року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відкрито загальне позовне провадження у цивільній справі № 496/2239/18. Клопотання позивача про відстрочення сплати судового збору у вказаній справі задоволено.</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Ухвалою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11 червня 2018 року задоволено заяву представника позивача – адвоката </w:t>
      </w:r>
      <w:r w:rsidR="00045871" w:rsidRPr="0042294B">
        <w:rPr>
          <w:rFonts w:ascii="Times New Roman" w:hAnsi="Times New Roman"/>
          <w:color w:val="000000" w:themeColor="text1"/>
          <w:sz w:val="28"/>
          <w:szCs w:val="28"/>
        </w:rPr>
        <w:t>ОСОБА_2</w:t>
      </w:r>
      <w:r w:rsidRPr="0042294B">
        <w:rPr>
          <w:rFonts w:ascii="Times New Roman" w:hAnsi="Times New Roman"/>
          <w:color w:val="000000" w:themeColor="text1"/>
          <w:sz w:val="28"/>
          <w:szCs w:val="28"/>
        </w:rPr>
        <w:t xml:space="preserve"> про забезпечення позову та накладено арешт на нерухоме майно: будівлі комплексу дорожнього сервісу за адресою: </w:t>
      </w:r>
      <w:r w:rsidR="006C4F9D" w:rsidRPr="0042294B">
        <w:rPr>
          <w:rFonts w:ascii="Times New Roman" w:hAnsi="Times New Roman"/>
          <w:color w:val="000000" w:themeColor="text1"/>
          <w:sz w:val="28"/>
          <w:szCs w:val="28"/>
        </w:rPr>
        <w:t>АДРЕСА_1</w:t>
      </w:r>
      <w:r w:rsidRPr="0042294B">
        <w:rPr>
          <w:rFonts w:ascii="Times New Roman" w:hAnsi="Times New Roman"/>
          <w:color w:val="000000" w:themeColor="text1"/>
          <w:sz w:val="28"/>
          <w:szCs w:val="28"/>
        </w:rPr>
        <w:t>, загальною площею 11 217,5 кв</w:t>
      </w:r>
      <w:r w:rsidR="00BB61C3"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 xml:space="preserve"> м, земельну ділянку (</w:t>
      </w:r>
      <w:r w:rsidR="006C4F9D" w:rsidRPr="0042294B">
        <w:rPr>
          <w:rFonts w:ascii="Times New Roman" w:hAnsi="Times New Roman"/>
          <w:color w:val="000000" w:themeColor="text1"/>
          <w:sz w:val="28"/>
          <w:szCs w:val="28"/>
        </w:rPr>
        <w:t>НОМЕР_1</w:t>
      </w:r>
      <w:r w:rsidRPr="0042294B">
        <w:rPr>
          <w:rFonts w:ascii="Times New Roman" w:hAnsi="Times New Roman"/>
          <w:color w:val="000000" w:themeColor="text1"/>
          <w:sz w:val="28"/>
          <w:szCs w:val="28"/>
        </w:rPr>
        <w:t>), що розташована за вказаною адресою, загальною площею 14,9577 гектара. Вказане нерухоме майно передано на зберігання ПП «Спрут».</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Застосовуючи заходи забезпечення позову, суд першої інстанції виходив із того, що між сторонами існує спір щодо витребування та зобов’язання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звільнити спірне нерухоме майно, ухвалою суду відкрито провадження у справі за цим позовом, також існує вірогідність, що невжиття заходів забезпечення позову може утруднити чи зробити неможливим виконання рішення суду. Відповідно до Державного реєстру речових прав на нерухоме майно відповідач у справі є власником спірного нерухомого майна, має всі можливості вільно розпоряджатися спірним майном, тобто може в будь-який час укласти правочин та відчужити спірне майно третім особам, що може утруднити чи зробити неможливим виконання рішення суду.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 наведених обставин суд першої інстанції вважав за необхідне задовольнити заяву про забезпечення позову, накласти арешт на спірне майно та для забезпечення можливості реального виконання рішення суду передати спірне майно на зберігання незалежній ліцензованій охоронній фірмі, яка забезпечить охорону спірного майна до вирішення спору.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lastRenderedPageBreak/>
        <w:t>Дисциплінарною палатою встановлено, що 19 червня 2018 року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подало до суду клопотання про зустрічне забезпечення позову шляхом внесення на депозитний рахунок суду грошових коштів у розмірі 250 000 </w:t>
      </w:r>
      <w:proofErr w:type="spellStart"/>
      <w:r w:rsidRPr="0042294B">
        <w:rPr>
          <w:rFonts w:ascii="Times New Roman" w:hAnsi="Times New Roman"/>
          <w:color w:val="000000" w:themeColor="text1"/>
          <w:sz w:val="28"/>
          <w:szCs w:val="28"/>
        </w:rPr>
        <w:t>грн</w:t>
      </w:r>
      <w:proofErr w:type="spellEnd"/>
      <w:r w:rsidRPr="0042294B">
        <w:rPr>
          <w:rFonts w:ascii="Times New Roman" w:hAnsi="Times New Roman"/>
          <w:color w:val="000000" w:themeColor="text1"/>
          <w:sz w:val="28"/>
          <w:szCs w:val="28"/>
        </w:rPr>
        <w:t>, яких, на думку відповідача, буде достатньо для покриття збитків відповідача у випадку відмови позивачу у задоволенні позову. У випадку неможливості внесення позивачем такої суми для усунення потенційних збитків відповідача, пов’язаних із забезпеченням позову,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просило змінити зберігача арештованого майна на законного орендаря – товариство з обмеженою відповідальністю «</w:t>
      </w:r>
      <w:proofErr w:type="spellStart"/>
      <w:r w:rsidRPr="0042294B">
        <w:rPr>
          <w:rFonts w:ascii="Times New Roman" w:hAnsi="Times New Roman"/>
          <w:color w:val="000000" w:themeColor="text1"/>
          <w:sz w:val="28"/>
          <w:szCs w:val="28"/>
        </w:rPr>
        <w:t>Парадайс</w:t>
      </w:r>
      <w:proofErr w:type="spellEnd"/>
      <w:r w:rsidRPr="0042294B">
        <w:rPr>
          <w:rFonts w:ascii="Times New Roman" w:hAnsi="Times New Roman"/>
          <w:color w:val="000000" w:themeColor="text1"/>
          <w:sz w:val="28"/>
          <w:szCs w:val="28"/>
        </w:rPr>
        <w:t xml:space="preserve"> </w:t>
      </w:r>
      <w:proofErr w:type="spellStart"/>
      <w:r w:rsidRPr="0042294B">
        <w:rPr>
          <w:rFonts w:ascii="Times New Roman" w:hAnsi="Times New Roman"/>
          <w:color w:val="000000" w:themeColor="text1"/>
          <w:sz w:val="28"/>
          <w:szCs w:val="28"/>
        </w:rPr>
        <w:t>релакс</w:t>
      </w:r>
      <w:proofErr w:type="spellEnd"/>
      <w:r w:rsidRPr="0042294B">
        <w:rPr>
          <w:rFonts w:ascii="Times New Roman" w:hAnsi="Times New Roman"/>
          <w:color w:val="000000" w:themeColor="text1"/>
          <w:sz w:val="28"/>
          <w:szCs w:val="28"/>
        </w:rPr>
        <w:t>» (далі – ТОВ «</w:t>
      </w:r>
      <w:proofErr w:type="spellStart"/>
      <w:r w:rsidRPr="0042294B">
        <w:rPr>
          <w:rFonts w:ascii="Times New Roman" w:hAnsi="Times New Roman"/>
          <w:color w:val="000000" w:themeColor="text1"/>
          <w:sz w:val="28"/>
          <w:szCs w:val="28"/>
        </w:rPr>
        <w:t>Парадайс</w:t>
      </w:r>
      <w:proofErr w:type="spellEnd"/>
      <w:r w:rsidRPr="0042294B">
        <w:rPr>
          <w:rFonts w:ascii="Times New Roman" w:hAnsi="Times New Roman"/>
          <w:color w:val="000000" w:themeColor="text1"/>
          <w:sz w:val="28"/>
          <w:szCs w:val="28"/>
        </w:rPr>
        <w:t xml:space="preserve"> </w:t>
      </w:r>
      <w:proofErr w:type="spellStart"/>
      <w:r w:rsidRPr="0042294B">
        <w:rPr>
          <w:rFonts w:ascii="Times New Roman" w:hAnsi="Times New Roman"/>
          <w:color w:val="000000" w:themeColor="text1"/>
          <w:sz w:val="28"/>
          <w:szCs w:val="28"/>
        </w:rPr>
        <w:t>релакс</w:t>
      </w:r>
      <w:proofErr w:type="spellEnd"/>
      <w:r w:rsidRPr="0042294B">
        <w:rPr>
          <w:rFonts w:ascii="Times New Roman" w:hAnsi="Times New Roman"/>
          <w:color w:val="000000" w:themeColor="text1"/>
          <w:sz w:val="28"/>
          <w:szCs w:val="28"/>
        </w:rPr>
        <w:t>»).</w:t>
      </w:r>
    </w:p>
    <w:p w:rsidR="00B013EE" w:rsidRPr="0042294B" w:rsidRDefault="00B826B7" w:rsidP="00B013EE">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Ухвалою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22 червня 2018 року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клопотання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про зустрічне забезпечення позову залишено без задоволення.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 ухвалі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22 червня 2018 року зазначено, що </w:t>
      </w:r>
      <w:r w:rsidR="00990939" w:rsidRPr="0042294B">
        <w:rPr>
          <w:rStyle w:val="rvts18"/>
          <w:rFonts w:ascii="Times New Roman" w:hAnsi="Times New Roman"/>
          <w:color w:val="000000" w:themeColor="text1"/>
          <w:sz w:val="28"/>
          <w:szCs w:val="28"/>
        </w:rPr>
        <w:t>відповідачем не доведено, а судом не встановлено о</w:t>
      </w:r>
      <w:r w:rsidR="00B013EE" w:rsidRPr="0042294B">
        <w:rPr>
          <w:rStyle w:val="rvts18"/>
          <w:rFonts w:ascii="Times New Roman" w:hAnsi="Times New Roman"/>
          <w:color w:val="000000" w:themeColor="text1"/>
          <w:sz w:val="28"/>
          <w:szCs w:val="28"/>
        </w:rPr>
        <w:t>бставин, передбачен</w:t>
      </w:r>
      <w:r w:rsidR="00990939" w:rsidRPr="0042294B">
        <w:rPr>
          <w:rStyle w:val="rvts18"/>
          <w:rFonts w:ascii="Times New Roman" w:hAnsi="Times New Roman"/>
          <w:color w:val="000000" w:themeColor="text1"/>
          <w:sz w:val="28"/>
          <w:szCs w:val="28"/>
        </w:rPr>
        <w:t>их</w:t>
      </w:r>
      <w:r w:rsidR="00B013EE" w:rsidRPr="0042294B">
        <w:rPr>
          <w:rStyle w:val="rvts18"/>
          <w:rFonts w:ascii="Times New Roman" w:hAnsi="Times New Roman"/>
          <w:color w:val="000000" w:themeColor="text1"/>
          <w:sz w:val="28"/>
          <w:szCs w:val="28"/>
        </w:rPr>
        <w:t xml:space="preserve"> ч</w:t>
      </w:r>
      <w:r w:rsidR="00990939" w:rsidRPr="0042294B">
        <w:rPr>
          <w:rStyle w:val="rvts18"/>
          <w:rFonts w:ascii="Times New Roman" w:hAnsi="Times New Roman"/>
          <w:color w:val="000000" w:themeColor="text1"/>
          <w:sz w:val="28"/>
          <w:szCs w:val="28"/>
        </w:rPr>
        <w:t>астиною</w:t>
      </w:r>
      <w:r w:rsidR="00B013EE" w:rsidRPr="0042294B">
        <w:rPr>
          <w:rStyle w:val="rvts18"/>
          <w:rFonts w:ascii="Times New Roman" w:hAnsi="Times New Roman"/>
          <w:color w:val="000000" w:themeColor="text1"/>
          <w:sz w:val="28"/>
          <w:szCs w:val="28"/>
        </w:rPr>
        <w:t xml:space="preserve"> </w:t>
      </w:r>
      <w:r w:rsidR="00990939" w:rsidRPr="0042294B">
        <w:rPr>
          <w:rStyle w:val="rvts18"/>
          <w:rFonts w:ascii="Times New Roman" w:hAnsi="Times New Roman"/>
          <w:color w:val="000000" w:themeColor="text1"/>
          <w:sz w:val="28"/>
          <w:szCs w:val="28"/>
        </w:rPr>
        <w:t xml:space="preserve">третьою </w:t>
      </w:r>
      <w:r w:rsidR="00B013EE" w:rsidRPr="0042294B">
        <w:rPr>
          <w:rFonts w:ascii="Times New Roman" w:hAnsi="Times New Roman"/>
          <w:color w:val="000000" w:themeColor="text1"/>
          <w:sz w:val="28"/>
          <w:szCs w:val="28"/>
        </w:rPr>
        <w:t>ст</w:t>
      </w:r>
      <w:r w:rsidR="00990939" w:rsidRPr="0042294B">
        <w:rPr>
          <w:rFonts w:ascii="Times New Roman" w:hAnsi="Times New Roman"/>
          <w:color w:val="000000" w:themeColor="text1"/>
          <w:sz w:val="28"/>
          <w:szCs w:val="28"/>
        </w:rPr>
        <w:t>атті</w:t>
      </w:r>
      <w:r w:rsidR="00B013EE" w:rsidRPr="0042294B">
        <w:rPr>
          <w:rFonts w:ascii="Times New Roman" w:hAnsi="Times New Roman"/>
          <w:color w:val="000000" w:themeColor="text1"/>
          <w:sz w:val="28"/>
          <w:szCs w:val="28"/>
        </w:rPr>
        <w:t xml:space="preserve"> 154 ЦПК України</w:t>
      </w:r>
      <w:r w:rsidR="00B013EE" w:rsidRPr="0042294B">
        <w:rPr>
          <w:rStyle w:val="rvts18"/>
          <w:rFonts w:ascii="Times New Roman" w:hAnsi="Times New Roman"/>
          <w:color w:val="000000" w:themeColor="text1"/>
          <w:sz w:val="28"/>
          <w:szCs w:val="28"/>
        </w:rPr>
        <w:t>, які б зобов’язували суд застосувати зустрічне забезпечення.</w:t>
      </w:r>
      <w:r w:rsidR="00990939" w:rsidRPr="0042294B">
        <w:rPr>
          <w:rStyle w:val="rvts18"/>
          <w:rFonts w:ascii="Times New Roman" w:hAnsi="Times New Roman"/>
          <w:color w:val="000000" w:themeColor="text1"/>
          <w:sz w:val="28"/>
          <w:szCs w:val="28"/>
        </w:rPr>
        <w:t xml:space="preserve"> </w:t>
      </w:r>
      <w:r w:rsidR="00B013EE" w:rsidRPr="0042294B">
        <w:rPr>
          <w:rStyle w:val="rvts18"/>
          <w:rFonts w:ascii="Times New Roman" w:hAnsi="Times New Roman"/>
          <w:color w:val="000000" w:themeColor="text1"/>
          <w:sz w:val="28"/>
          <w:szCs w:val="28"/>
        </w:rPr>
        <w:t>За відсутності обставин, які є обов</w:t>
      </w:r>
      <w:r w:rsidR="00BB61C3" w:rsidRPr="0042294B">
        <w:rPr>
          <w:rStyle w:val="rvts18"/>
          <w:rFonts w:ascii="Times New Roman" w:hAnsi="Times New Roman"/>
          <w:color w:val="000000" w:themeColor="text1"/>
          <w:sz w:val="28"/>
          <w:szCs w:val="28"/>
        </w:rPr>
        <w:t>’</w:t>
      </w:r>
      <w:r w:rsidR="00B013EE" w:rsidRPr="0042294B">
        <w:rPr>
          <w:rStyle w:val="rvts18"/>
          <w:rFonts w:ascii="Times New Roman" w:hAnsi="Times New Roman"/>
          <w:color w:val="000000" w:themeColor="text1"/>
          <w:sz w:val="28"/>
          <w:szCs w:val="28"/>
        </w:rPr>
        <w:t>язковою умовою застосування зустрічного забезпечення</w:t>
      </w:r>
      <w:r w:rsidR="00ED636D" w:rsidRPr="0042294B">
        <w:rPr>
          <w:rStyle w:val="rvts18"/>
          <w:rFonts w:ascii="Times New Roman" w:hAnsi="Times New Roman"/>
          <w:color w:val="000000" w:themeColor="text1"/>
          <w:sz w:val="28"/>
          <w:szCs w:val="28"/>
        </w:rPr>
        <w:t>,</w:t>
      </w:r>
      <w:r w:rsidR="00B013EE" w:rsidRPr="0042294B">
        <w:rPr>
          <w:rStyle w:val="rvts18"/>
          <w:rFonts w:ascii="Times New Roman" w:hAnsi="Times New Roman"/>
          <w:color w:val="000000" w:themeColor="text1"/>
          <w:sz w:val="28"/>
          <w:szCs w:val="28"/>
        </w:rPr>
        <w:t xml:space="preserve"> </w:t>
      </w:r>
      <w:r w:rsidR="00BB61C3" w:rsidRPr="0042294B">
        <w:rPr>
          <w:rStyle w:val="rvts18"/>
          <w:rFonts w:ascii="Times New Roman" w:hAnsi="Times New Roman"/>
          <w:color w:val="000000" w:themeColor="text1"/>
          <w:sz w:val="28"/>
          <w:szCs w:val="28"/>
        </w:rPr>
        <w:t xml:space="preserve">застосування </w:t>
      </w:r>
      <w:r w:rsidR="00B013EE" w:rsidRPr="0042294B">
        <w:rPr>
          <w:rStyle w:val="rvts18"/>
          <w:rFonts w:ascii="Times New Roman" w:hAnsi="Times New Roman"/>
          <w:color w:val="000000" w:themeColor="text1"/>
          <w:sz w:val="28"/>
          <w:szCs w:val="28"/>
        </w:rPr>
        <w:t>так</w:t>
      </w:r>
      <w:r w:rsidR="00BB61C3" w:rsidRPr="0042294B">
        <w:rPr>
          <w:rStyle w:val="rvts18"/>
          <w:rFonts w:ascii="Times New Roman" w:hAnsi="Times New Roman"/>
          <w:color w:val="000000" w:themeColor="text1"/>
          <w:sz w:val="28"/>
          <w:szCs w:val="28"/>
        </w:rPr>
        <w:t>ого</w:t>
      </w:r>
      <w:r w:rsidR="00B013EE" w:rsidRPr="0042294B">
        <w:rPr>
          <w:rStyle w:val="rvts18"/>
          <w:rFonts w:ascii="Times New Roman" w:hAnsi="Times New Roman"/>
          <w:color w:val="000000" w:themeColor="text1"/>
          <w:sz w:val="28"/>
          <w:szCs w:val="28"/>
        </w:rPr>
        <w:t xml:space="preserve"> забезпечення є правом, а не обов</w:t>
      </w:r>
      <w:r w:rsidR="00BB61C3" w:rsidRPr="0042294B">
        <w:rPr>
          <w:rStyle w:val="rvts18"/>
          <w:rFonts w:ascii="Times New Roman" w:hAnsi="Times New Roman"/>
          <w:color w:val="000000" w:themeColor="text1"/>
          <w:sz w:val="28"/>
          <w:szCs w:val="28"/>
        </w:rPr>
        <w:t>’</w:t>
      </w:r>
      <w:r w:rsidR="00B013EE" w:rsidRPr="0042294B">
        <w:rPr>
          <w:rStyle w:val="rvts18"/>
          <w:rFonts w:ascii="Times New Roman" w:hAnsi="Times New Roman"/>
          <w:color w:val="000000" w:themeColor="text1"/>
          <w:sz w:val="28"/>
          <w:szCs w:val="28"/>
        </w:rPr>
        <w:t>язком суду. Це питання віднесено на розсуд суду і застосовується у разі</w:t>
      </w:r>
      <w:r w:rsidR="00BB61C3" w:rsidRPr="0042294B">
        <w:rPr>
          <w:rStyle w:val="rvts18"/>
          <w:rFonts w:ascii="Times New Roman" w:hAnsi="Times New Roman"/>
          <w:color w:val="000000" w:themeColor="text1"/>
          <w:sz w:val="28"/>
          <w:szCs w:val="28"/>
        </w:rPr>
        <w:t xml:space="preserve"> виникнення</w:t>
      </w:r>
      <w:r w:rsidR="00B013EE" w:rsidRPr="0042294B">
        <w:rPr>
          <w:rStyle w:val="rvts18"/>
          <w:rFonts w:ascii="Times New Roman" w:hAnsi="Times New Roman"/>
          <w:color w:val="000000" w:themeColor="text1"/>
          <w:sz w:val="28"/>
          <w:szCs w:val="28"/>
        </w:rPr>
        <w:t xml:space="preserve"> обґрунтованих сумнівів щодо можливо</w:t>
      </w:r>
      <w:r w:rsidR="00BB61C3" w:rsidRPr="0042294B">
        <w:rPr>
          <w:rStyle w:val="rvts18"/>
          <w:rFonts w:ascii="Times New Roman" w:hAnsi="Times New Roman"/>
          <w:color w:val="000000" w:themeColor="text1"/>
          <w:sz w:val="28"/>
          <w:szCs w:val="28"/>
        </w:rPr>
        <w:t>сті</w:t>
      </w:r>
      <w:r w:rsidR="00B013EE" w:rsidRPr="0042294B">
        <w:rPr>
          <w:rStyle w:val="rvts18"/>
          <w:rFonts w:ascii="Times New Roman" w:hAnsi="Times New Roman"/>
          <w:color w:val="000000" w:themeColor="text1"/>
          <w:sz w:val="28"/>
          <w:szCs w:val="28"/>
        </w:rPr>
        <w:t xml:space="preserve"> </w:t>
      </w:r>
      <w:r w:rsidR="00BB61C3" w:rsidRPr="0042294B">
        <w:rPr>
          <w:rStyle w:val="rvts18"/>
          <w:rFonts w:ascii="Times New Roman" w:hAnsi="Times New Roman"/>
          <w:color w:val="000000" w:themeColor="text1"/>
          <w:sz w:val="28"/>
          <w:szCs w:val="28"/>
        </w:rPr>
        <w:t xml:space="preserve">безперешкодного </w:t>
      </w:r>
      <w:r w:rsidR="00B013EE" w:rsidRPr="0042294B">
        <w:rPr>
          <w:rStyle w:val="rvts18"/>
          <w:rFonts w:ascii="Times New Roman" w:hAnsi="Times New Roman"/>
          <w:color w:val="000000" w:themeColor="text1"/>
          <w:sz w:val="28"/>
          <w:szCs w:val="28"/>
        </w:rPr>
        <w:t>відшкодування збитків відповідача, які можуть бути спричинені забезпеченням позову.</w:t>
      </w:r>
      <w:r w:rsidR="00B44A4E" w:rsidRPr="0042294B">
        <w:rPr>
          <w:rStyle w:val="rvts18"/>
          <w:rFonts w:ascii="Times New Roman" w:hAnsi="Times New Roman"/>
          <w:color w:val="000000" w:themeColor="text1"/>
          <w:sz w:val="28"/>
          <w:szCs w:val="28"/>
        </w:rPr>
        <w:t xml:space="preserve"> </w:t>
      </w:r>
      <w:r w:rsidR="00990939" w:rsidRPr="0042294B">
        <w:rPr>
          <w:rFonts w:ascii="Times New Roman" w:hAnsi="Times New Roman"/>
          <w:color w:val="000000" w:themeColor="text1"/>
          <w:sz w:val="28"/>
          <w:szCs w:val="28"/>
        </w:rPr>
        <w:t xml:space="preserve">Також у цій ухвалі суд зазначив, що </w:t>
      </w:r>
      <w:r w:rsidRPr="0042294B">
        <w:rPr>
          <w:rFonts w:ascii="Times New Roman" w:hAnsi="Times New Roman"/>
          <w:color w:val="000000" w:themeColor="text1"/>
          <w:sz w:val="28"/>
          <w:szCs w:val="28"/>
        </w:rPr>
        <w:t>важливе значення при вирішенні клопотання про зустрічне забезпечення має факт апеляційного оскарження відповідачем ухвали суду про забезпечення позову, оскільки скасування ухвали суду про забезпечення позову має наслідком ухвалення відповідного рішення за клопотанням про зустрічне забезпечення з огляду на те, що зустрічне забезпечення застосовується тільки в разі забезпечення позову. Оцінивши достатність доказів у сукупності, враховуючи наведені обставини, суд дійшов висновку про відмову у задоволенні клопотання з огляду на його передчасність.</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Ухвалою апеляційного суду Одеської області від 9 жовтня 2018 року апеляційну скаргу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задоволено частково. Ухвалу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11 червня 2018 року про забезпечення позову скасовано та ухвалено нове судове рішення про залишення без задоволення заяви представника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 адвоката </w:t>
      </w:r>
      <w:r w:rsidR="00045871" w:rsidRPr="0042294B">
        <w:rPr>
          <w:rFonts w:ascii="Times New Roman" w:hAnsi="Times New Roman"/>
          <w:color w:val="000000" w:themeColor="text1"/>
          <w:sz w:val="28"/>
          <w:szCs w:val="28"/>
        </w:rPr>
        <w:t>ОСОБА_2</w:t>
      </w:r>
      <w:r w:rsidRPr="0042294B">
        <w:rPr>
          <w:rFonts w:ascii="Times New Roman" w:hAnsi="Times New Roman"/>
          <w:color w:val="000000" w:themeColor="text1"/>
          <w:sz w:val="28"/>
          <w:szCs w:val="28"/>
        </w:rPr>
        <w:t xml:space="preserve"> про забезпечення позову.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Апеляційний суд зазначив, що, «виходячи із суті заявлених вимог і встановлених обставин, беручи до уваги, як саме позивач обґрунтувала порушення свого права і необхідність забезпечення поданого нею позову про витребування майна на користь ТОВ «Рубікон-II», у суду першої інстанції не було підстав для вжиття заходів забезпечення позову шляхом накладення арешту і його передачі іншій юридичній особі. Зокрема, суд не врахував, що підприємство «Рубікон-II», в інтересах якого фактично і заявлено позов про витребування майна, безпосередньо не зверталось до суду з відповідним </w:t>
      </w:r>
      <w:r w:rsidRPr="0042294B">
        <w:rPr>
          <w:rFonts w:ascii="Times New Roman" w:hAnsi="Times New Roman"/>
          <w:color w:val="000000" w:themeColor="text1"/>
          <w:sz w:val="28"/>
          <w:szCs w:val="28"/>
        </w:rPr>
        <w:lastRenderedPageBreak/>
        <w:t>позовом до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та не вживало передбачених законом заходів, спрямованих на забезпечення позову. Суд не встановив, хто саме і на якій правовій підставі на час постановлення оскаржуваної ухвали користується спірним майном, яким чином заходи забезпечення позову можуть вплинути на права та законні інтереси цієї особи, на її господарську діяльність, та не обґрунтував неможливість або утруднення виконання рішення суду в контексті заявлених </w:t>
      </w:r>
      <w:r w:rsidR="00045871" w:rsidRPr="0042294B">
        <w:rPr>
          <w:rFonts w:ascii="Times New Roman" w:hAnsi="Times New Roman"/>
          <w:color w:val="000000" w:themeColor="text1"/>
          <w:sz w:val="28"/>
          <w:szCs w:val="28"/>
        </w:rPr>
        <w:t xml:space="preserve">ОСОБА_1 </w:t>
      </w:r>
      <w:r w:rsidRPr="0042294B">
        <w:rPr>
          <w:rFonts w:ascii="Times New Roman" w:hAnsi="Times New Roman"/>
          <w:color w:val="000000" w:themeColor="text1"/>
          <w:sz w:val="28"/>
          <w:szCs w:val="28"/>
        </w:rPr>
        <w:t>вимог. Лише у разі вирішення вказаних питань, встановлення обставин, які мають значення для вирішення питання про забезпечення позову, надання оцінки, чи не вплине вжиття заходів забезпечення позову у вигляді арешту та передачі іншій юридичній особі, та обґрунтування неможливості або утруднення виконання судового рішення вважається, що заходи забезпечення позову судом вжиті відповідно до вимог цивільного процесуального законодавства. Наведеного суд першої інстанції не дотримався. Тому ухвала суду першої інстанції не може залишатися в силі і підлягає скасуванню з ухваленням нового судового рішення про залишення заяви про забезпечення позову без задоволення».</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20 грудня 2018 року ухвалою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провадження у справі закрито. Роз’яснено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що спір, який виник між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та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належить до юрисдикції господарського суду.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Оцінюючи дії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у сукупності із встановленими обставинами справи, Дисциплінарна палата Вищої ради правосуддя виходила з того, що суддею </w:t>
      </w:r>
      <w:proofErr w:type="spellStart"/>
      <w:r w:rsidRPr="0042294B">
        <w:rPr>
          <w:rFonts w:ascii="Times New Roman" w:hAnsi="Times New Roman"/>
          <w:color w:val="000000" w:themeColor="text1"/>
          <w:sz w:val="28"/>
          <w:szCs w:val="28"/>
        </w:rPr>
        <w:t>Горяєвим</w:t>
      </w:r>
      <w:proofErr w:type="spellEnd"/>
      <w:r w:rsidRPr="0042294B">
        <w:rPr>
          <w:rFonts w:ascii="Times New Roman" w:hAnsi="Times New Roman"/>
          <w:color w:val="000000" w:themeColor="text1"/>
          <w:sz w:val="28"/>
          <w:szCs w:val="28"/>
        </w:rPr>
        <w:t xml:space="preserve"> І.М. не дотримано передбачених законодавством вимог для вжиття заходів забезпечення позову та не наведено мотивів прийняття аргументів позивача у частині передачі спірного майна на зберігання ПП «Спрут», не обґрунтовано необхідності втручання у господарську діяльність як власника, так і користувачів (орендарів) майна шляхом його передачі на зберігання іншій юридичній особі.</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Згідно із позицією Дисциплінарної палати, вирішуючи питання про забезпечення позову,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взяв до уваги лише інтереси позивача і, наклавши арешт на спірне майно та передавши його на зберігання ПП «Спрут», фактично вирішив спір по суті, причому спір не між позивачем та відповідачем, а між відповідачем і третьою особою.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 висновком Дисциплінарної палати застосовані суддею заходи забезпечення позову були очевидно </w:t>
      </w:r>
      <w:proofErr w:type="spellStart"/>
      <w:r w:rsidRPr="0042294B">
        <w:rPr>
          <w:rFonts w:ascii="Times New Roman" w:hAnsi="Times New Roman"/>
          <w:color w:val="000000" w:themeColor="text1"/>
          <w:sz w:val="28"/>
          <w:szCs w:val="28"/>
        </w:rPr>
        <w:t>неспівмірними</w:t>
      </w:r>
      <w:proofErr w:type="spellEnd"/>
      <w:r w:rsidRPr="0042294B">
        <w:rPr>
          <w:rFonts w:ascii="Times New Roman" w:hAnsi="Times New Roman"/>
          <w:color w:val="000000" w:themeColor="text1"/>
          <w:sz w:val="28"/>
          <w:szCs w:val="28"/>
        </w:rPr>
        <w:t xml:space="preserve"> і, більш того, не співвідносними із позовними вимогами, такі заходи забезпечення покладали на володільця майна надмірний та непропорційний тягар. Вказані дії судді не відповідали меті застосування правового інституту забезпечення позову та призвели до непропорційного втручання у право власності як основоположне право людини.</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Дисциплінарна палата також дійшла висновку про порушення суддею </w:t>
      </w:r>
      <w:proofErr w:type="spellStart"/>
      <w:r w:rsidRPr="0042294B">
        <w:rPr>
          <w:rFonts w:ascii="Times New Roman" w:hAnsi="Times New Roman"/>
          <w:color w:val="000000" w:themeColor="text1"/>
          <w:sz w:val="28"/>
          <w:szCs w:val="28"/>
        </w:rPr>
        <w:t>Горяєвим</w:t>
      </w:r>
      <w:proofErr w:type="spellEnd"/>
      <w:r w:rsidRPr="0042294B">
        <w:rPr>
          <w:rFonts w:ascii="Times New Roman" w:hAnsi="Times New Roman"/>
          <w:color w:val="000000" w:themeColor="text1"/>
          <w:sz w:val="28"/>
          <w:szCs w:val="28"/>
        </w:rPr>
        <w:t xml:space="preserve"> І.М. принципу змагальності і про явно неоднакове ставлення судді до сторін у справі. Вказаний висновок ґрунтувався на тому, що, відстрочивши позивачеві сплату судового збору, розглянувши та задовольнивши заяву про забезпечення позову, яка формально не відповідала вимогам процесуального </w:t>
      </w:r>
      <w:r w:rsidRPr="0042294B">
        <w:rPr>
          <w:rFonts w:ascii="Times New Roman" w:hAnsi="Times New Roman"/>
          <w:color w:val="000000" w:themeColor="text1"/>
          <w:sz w:val="28"/>
          <w:szCs w:val="28"/>
        </w:rPr>
        <w:lastRenderedPageBreak/>
        <w:t xml:space="preserve">законодавства і не містила пропозицій щодо зустрічного забезпечення,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водночас відмовив у задоволенні заяви відповідача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про зустрічне забезпечення позову, пославшись на її передчасність.</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Врахувавши невмотивованість у відповідній частині ухваленого судового рішення, яке було скасовано судом апеляційної інстанції, явне порушення суддею засад змагальності сторін, беручи до уваги інші обставини, зокрема вжиття заходів забезпечення позову за позовними вимогами, які не підлягали розгляду в порядку цивільного судочинства, Дисциплінарна палата дійшла висновку, що вказані порушення не є простою суддівською помилкою, а допущені суддею умисно.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 наведених обставин Дисциплінарна палата кваліфікувала дії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як дисциплінарні проступки, передбачені підпунктом «б» (умисне </w:t>
      </w:r>
      <w:proofErr w:type="spellStart"/>
      <w:r w:rsidRPr="0042294B">
        <w:rPr>
          <w:rFonts w:ascii="Times New Roman" w:hAnsi="Times New Roman"/>
          <w:color w:val="000000" w:themeColor="text1"/>
          <w:sz w:val="28"/>
          <w:szCs w:val="28"/>
        </w:rPr>
        <w:t>незазначення</w:t>
      </w:r>
      <w:proofErr w:type="spellEnd"/>
      <w:r w:rsidRPr="0042294B">
        <w:rPr>
          <w:rFonts w:ascii="Times New Roman" w:hAnsi="Times New Roman"/>
          <w:color w:val="000000" w:themeColor="text1"/>
          <w:sz w:val="28"/>
          <w:szCs w:val="28"/>
        </w:rPr>
        <w:t xml:space="preserve"> в судовому рішенні мотивів прийняття або відхилення аргументів сторін щодо суті спору), підпунктом «г» (умисне порушення засади змагальності сторін) пункту 1 та пунктом 4 частини першої (умисне допущення суддею, який брав участь в ухваленні судового рішення, порушення прав людини і основоположних свобод (права на справедливий суд і права власності)</w:t>
      </w:r>
      <w:r w:rsidR="00ED636D"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 xml:space="preserve"> </w:t>
      </w:r>
      <w:r w:rsidR="00BB61C3" w:rsidRPr="0042294B">
        <w:rPr>
          <w:rFonts w:ascii="Times New Roman" w:hAnsi="Times New Roman"/>
          <w:color w:val="000000" w:themeColor="text1"/>
          <w:sz w:val="28"/>
          <w:szCs w:val="28"/>
        </w:rPr>
        <w:t>статті 106 Закону України «Про судоустрій і статус суддів».</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 урахуванням встановлених під час розгляду дисциплінарної справи обставин Дисциплінарна палата дійшла висновку, що така поведінка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при виконанні професійних обов’язків викликає обґрунтовані сумніви у здатності судді безсторонньо виконувати свої функції, порочить звання судді та підриває авторитет правосуддя, а дії судді містять ознаки істотного дисциплінарного проступку, зокрема допущення суддею грубого порушення закону, що підриває суспільну довіру до суду, та застосувала до судді дисциплінарне стягнення у виді внесення подання Вищій раді правосуддя про звільнення його з посади.</w:t>
      </w:r>
    </w:p>
    <w:p w:rsidR="00B826B7" w:rsidRPr="0042294B" w:rsidRDefault="00B826B7" w:rsidP="00B826B7">
      <w:pPr>
        <w:spacing w:after="0" w:line="240" w:lineRule="auto"/>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Не погоджуючись із рішенням Дисциплінарної палати,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та його представник – адвокат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звернулися до Вищої ради правосуддя зі скаргами, в яких просили скасувати рішення Третьої Дисциплінарної палати Вищої ради правосуддя від 23 січня 2019 року № 181/3дп/15-19 та закрити дисциплінарне провадження.</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Суддя вважає, що його притягнуто до відповідальності фактично за ухвалення судового рішення, яке скасоване вищою інстанцією, без встановлення і доведення в його діях злого умислу або грубої недбалості, а члени Дисциплінарної палати, посилаючись на порушення суддею норм ЦПК України, вийшли за межі своїх повноважень, оскільки Дисциплінарна палата не є судовим органом апеляційної чи касаційної інстанції.</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Також суддя вказував, що члени Дисциплінарної палати були необ’єктивними та упередженими під час розгляду дисциплінарної справи, оскільки в ухвалі про відкриття дисциплінарної справи вже висловили позицію Дисциплінарної палати (до якої вони входять) про наявність у діях судді дисциплінарного проступку.</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lastRenderedPageBreak/>
        <w:t xml:space="preserve">Суддя не погодився з висновком Дисциплінарної палати про те, що заходи забезпечення позову застосовані суддею за позовними вимогами, які не підлягали розгляду в порядку цивільного судочинства, і він відповідно до пункту 1 частини першої статті 186 ЦПК України мав підстави для відмови у відкритті провадження у справі, оскільки при відкритті провадження у справі врахував факт звернення до суду за захистом цивільних прав фізичної особи, а спір стосувався нерухомого майна, яке перебуває на території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району. Вказує, що правильність його висновків при відкритті провадження у справі підтвердив суд апеляційної інстанції.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Також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вважає безпідставним висновок Дисциплінарної палати про те, що ним не обґрунтовано підстави передачі майна на зберігання іншій юридичн</w:t>
      </w:r>
      <w:r w:rsidR="00D072E8" w:rsidRPr="0042294B">
        <w:rPr>
          <w:rFonts w:ascii="Times New Roman" w:hAnsi="Times New Roman"/>
          <w:color w:val="000000" w:themeColor="text1"/>
          <w:sz w:val="28"/>
          <w:szCs w:val="28"/>
        </w:rPr>
        <w:t>ій</w:t>
      </w:r>
      <w:r w:rsidRPr="0042294B">
        <w:rPr>
          <w:rFonts w:ascii="Times New Roman" w:hAnsi="Times New Roman"/>
          <w:color w:val="000000" w:themeColor="text1"/>
          <w:sz w:val="28"/>
          <w:szCs w:val="28"/>
        </w:rPr>
        <w:t xml:space="preserve"> особі. Суддя зазначив, що при розгляді вказаного питання всебічно, повно, об’єктивно та безпосередньо оцінив докази, надані позивачем, та мав підстави обґрунтовано вважати, що спірне майно в подальшому може бути відчужене. Крім цього, зазначає, що </w:t>
      </w:r>
      <w:r w:rsidR="003A3DFF" w:rsidRPr="0042294B">
        <w:rPr>
          <w:rFonts w:ascii="Times New Roman" w:hAnsi="Times New Roman"/>
          <w:color w:val="000000" w:themeColor="text1"/>
          <w:sz w:val="28"/>
          <w:szCs w:val="28"/>
        </w:rPr>
        <w:t xml:space="preserve">він </w:t>
      </w:r>
      <w:r w:rsidRPr="0042294B">
        <w:rPr>
          <w:rFonts w:ascii="Times New Roman" w:hAnsi="Times New Roman"/>
          <w:color w:val="000000" w:themeColor="text1"/>
          <w:sz w:val="28"/>
          <w:szCs w:val="28"/>
        </w:rPr>
        <w:t xml:space="preserve">взяв до уваги ухвалу апеляційного суду Одеської області від 31 травня 2018 року, якою вирішено повернути спірне майно його власнику </w:t>
      </w:r>
      <w:r w:rsidR="00BB61C3" w:rsidRPr="0042294B">
        <w:rPr>
          <w:rFonts w:ascii="Times New Roman" w:hAnsi="Times New Roman"/>
          <w:color w:val="000000" w:themeColor="text1"/>
          <w:sz w:val="28"/>
          <w:szCs w:val="28"/>
        </w:rPr>
        <w:t xml:space="preserve">– </w:t>
      </w:r>
      <w:proofErr w:type="spellStart"/>
      <w:r w:rsidRPr="0042294B">
        <w:rPr>
          <w:rFonts w:ascii="Times New Roman" w:hAnsi="Times New Roman"/>
          <w:color w:val="000000" w:themeColor="text1"/>
          <w:sz w:val="28"/>
          <w:szCs w:val="28"/>
        </w:rPr>
        <w:t>ТОВ«Рубікон-ІІ</w:t>
      </w:r>
      <w:proofErr w:type="spellEnd"/>
      <w:r w:rsidRPr="0042294B">
        <w:rPr>
          <w:rFonts w:ascii="Times New Roman" w:hAnsi="Times New Roman"/>
          <w:color w:val="000000" w:themeColor="text1"/>
          <w:sz w:val="28"/>
          <w:szCs w:val="28"/>
        </w:rPr>
        <w:t xml:space="preserve">».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При цьому наголошує, що Дисциплінарна палата не врахувала, що зберігання майна не передбачає його вилучення, а накладення арешту на майно та передання його на зберігання не перешкоджає власнику і орендарю користуватись ним та здійснювати господарську діяльність.</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також не погоджується з висновком Дисциплінарної палати про порушення ним принципу змагальності та зазначає, що, вирішуючи клопотання про зустрічне забезпечення, він мав обґрунтовані сумніви щодо передачі скаржником спірного майна в оренду та, відповідно, щодо наявності збитків, факт заподіяння яких відповідачем не було доведено ні у суді першої інстанції, ні під час розгляду дисциплінарної справи. Вважає, що сама по собі відмова у задоволенні клопотання про зустрічне забезпечення не може вважатися неоднаковим ставленням до сторін у справі та умисним порушенням принципу змагальності у цивільному процесі.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 поданій скарзі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також зауважує, що висновок Дисциплінарної палати про призначення дисциплінарного стягнення у виді подання про звільнення судді з посади не мотивований, а у рішенні Дисциплінарної палати не наведені обставини можливості або неможливості призначення менш суворого дисциплінарного стягнення.</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Вважає, що Дисциплінарна палата безпідставно кваліфікувала його дії як істотний дисциплінарний проступок, оскільки не було доведено умисного порушення ним норм процесуального права під час розгляду цивільної справи, як і неналежного ставлення до службових обов</w:t>
      </w:r>
      <w:r w:rsidR="003A3DFF"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язків.</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Представник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 адвокат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у поданій скарзі вказує, що рішення про притягнення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до дисциплінарної відповідальності не вмотивоване, прийняте без повного та всебічного з’ясування усіх обставин справи, а обставини, які згідно з оскаржуваним рішенням вважаються встановленими, не підтверджені доказами. Висновки щодо наявності в діях </w:t>
      </w:r>
      <w:r w:rsidRPr="0042294B">
        <w:rPr>
          <w:rFonts w:ascii="Times New Roman" w:hAnsi="Times New Roman"/>
          <w:color w:val="000000" w:themeColor="text1"/>
          <w:sz w:val="28"/>
          <w:szCs w:val="28"/>
        </w:rPr>
        <w:lastRenderedPageBreak/>
        <w:t xml:space="preserve">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складу дисциплінарного проступку є передчасними, а застосоване дисциплінарне стягнення не відповідає критеріям обґрунтованості та пропорційності.</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Вказані доводи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обґрунтовує тим, що ухвалою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11 червня 2018 року не заборонено відповідачу та іншим особам користуватися спірним майном та здійснювати господарську діяльність. Зазначає, що Дисциплінарна палата не досліджувала обставини фактичного виконання виконавцем цієї ухвали та наслідки її виконання.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підтримала доводи скарги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І.М. про те, що після застосування таких видів забезпечення позову власник не втрачає повноваження щодо такого майна, а лише тимчасово обмежується його право розпоряджатися цим майном.</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Представник судді також зазначає, що в оскаржуваному рішенні не наведено жодного доказу та обґрунтування факту завдання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та орендарям збитків, втручання у їхню господарську діяльність, а твердження скаржника про спричинення йому матеріальної шкоди не підтверджено доказами та не наведено ні в клопотанні про зустрічне забезпечення, ні в дисциплінарній скарзі. Також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вважає необґрунтованим висновок Дисциплінарної палати про </w:t>
      </w:r>
      <w:proofErr w:type="spellStart"/>
      <w:r w:rsidRPr="0042294B">
        <w:rPr>
          <w:rFonts w:ascii="Times New Roman" w:hAnsi="Times New Roman"/>
          <w:color w:val="000000" w:themeColor="text1"/>
          <w:sz w:val="28"/>
          <w:szCs w:val="28"/>
        </w:rPr>
        <w:t>неспівмірність</w:t>
      </w:r>
      <w:proofErr w:type="spellEnd"/>
      <w:r w:rsidRPr="0042294B">
        <w:rPr>
          <w:rFonts w:ascii="Times New Roman" w:hAnsi="Times New Roman"/>
          <w:color w:val="000000" w:themeColor="text1"/>
          <w:sz w:val="28"/>
          <w:szCs w:val="28"/>
        </w:rPr>
        <w:t xml:space="preserve"> вжитих заходів забезпечення позову і покладення на власника (орендаря) надмірного тягаря, оскільки під час розгляду дисциплінарної справи не встановлено наявності негативних наслідків чи завдання будь-яких збитків власникам чи орендарям.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Крім цього, вважає, що Дисциплінарна палата не взяла до уваги доводи судді про обставини, які були ним враховані при вжитті заходів забезпечення позову, та наголошує, що у тексті ухвали про забезпечення позову стисло викладені мотиви її постановлення, що є свідченням того, що доводи сторони у справі аналізувалися і бралися до уваги в межах допустимого суддівського розсуду.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також заперечує висновки Дисциплінарної палати про порушення суддею принципу змагальності під час розгляду питання про зустрічне забезпечення, зазначаючи, що станом на час розгляду судом заяви про забезпечення позову були відсутні підстави вважати, що існують обставини, за наявності яких законодавство встановлює обов’язок суду застосувати зустрічне забезпечення, а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не довело, які саме збитки завдано забезпеченням позову. Вказує, що Дисциплінарна палата не досліджувала клопотання про зустрічне забезпечення, не оцінювала його на предмет обґрунтованості та доведеності. Відповідно сам факт подання відповідачем клопотання про зустрічне забезпечення не є безумовною підставою для його задоволення.</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На думку представника судді, Дисциплінарна палата при ухваленні рішення не наділена законом повноваженнями оцінювати законність судового рішення та перевіряти його правовий зміст.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Також представник судді зазначає про передчасність висновку Дисциплінарної палати, що на момент відкриття провадження у справі судді </w:t>
      </w:r>
      <w:proofErr w:type="spellStart"/>
      <w:r w:rsidRPr="0042294B">
        <w:rPr>
          <w:rFonts w:ascii="Times New Roman" w:hAnsi="Times New Roman"/>
          <w:color w:val="000000" w:themeColor="text1"/>
          <w:sz w:val="28"/>
          <w:szCs w:val="28"/>
        </w:rPr>
        <w:t>Горяєву</w:t>
      </w:r>
      <w:proofErr w:type="spellEnd"/>
      <w:r w:rsidRPr="0042294B">
        <w:rPr>
          <w:rFonts w:ascii="Times New Roman" w:hAnsi="Times New Roman"/>
          <w:color w:val="000000" w:themeColor="text1"/>
          <w:sz w:val="28"/>
          <w:szCs w:val="28"/>
        </w:rPr>
        <w:t xml:space="preserve"> І.М.  було відомо про наявність обставин, які відповідно до пункту 1 </w:t>
      </w:r>
      <w:r w:rsidRPr="0042294B">
        <w:rPr>
          <w:rFonts w:ascii="Times New Roman" w:hAnsi="Times New Roman"/>
          <w:color w:val="000000" w:themeColor="text1"/>
          <w:sz w:val="28"/>
          <w:szCs w:val="28"/>
        </w:rPr>
        <w:lastRenderedPageBreak/>
        <w:t xml:space="preserve">частини першої статті 186 ЦПК України мали бути підставою для відмови у відкритті провадження у справі.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Вважає невмотивованим застосоване Дисциплінарною палатою дисциплінарне стягнення, оскільки при його обранні було порушено принцип пропорційності, не враховано позитивну характеристику судді та відсутність у нього дисциплінарних стягнень у минулому, характер та наслідки допущеного порушення норм процесуального права.</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Зазначає, що в оскаржуваному рішенні не наведено факти, які свідчать, що діями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завдано шкоди авторитету судової влади, викликають сумнів у його об’єктивності чи свідчать про несумлінне виконання ним своїх службових обов’язків.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Крім наведеного,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окремо </w:t>
      </w:r>
      <w:r w:rsidR="003A3DFF" w:rsidRPr="0042294B">
        <w:rPr>
          <w:rFonts w:ascii="Times New Roman" w:hAnsi="Times New Roman"/>
          <w:color w:val="000000" w:themeColor="text1"/>
          <w:sz w:val="28"/>
          <w:szCs w:val="28"/>
        </w:rPr>
        <w:t xml:space="preserve">стверджує про </w:t>
      </w:r>
      <w:r w:rsidRPr="0042294B">
        <w:rPr>
          <w:rFonts w:ascii="Times New Roman" w:hAnsi="Times New Roman"/>
          <w:color w:val="000000" w:themeColor="text1"/>
          <w:sz w:val="28"/>
          <w:szCs w:val="28"/>
        </w:rPr>
        <w:t>порушенн</w:t>
      </w:r>
      <w:r w:rsidR="003A3DFF" w:rsidRPr="0042294B">
        <w:rPr>
          <w:rFonts w:ascii="Times New Roman" w:hAnsi="Times New Roman"/>
          <w:color w:val="000000" w:themeColor="text1"/>
          <w:sz w:val="28"/>
          <w:szCs w:val="28"/>
        </w:rPr>
        <w:t>я</w:t>
      </w:r>
      <w:r w:rsidRPr="0042294B">
        <w:rPr>
          <w:rFonts w:ascii="Times New Roman" w:hAnsi="Times New Roman"/>
          <w:color w:val="000000" w:themeColor="text1"/>
          <w:sz w:val="28"/>
          <w:szCs w:val="28"/>
        </w:rPr>
        <w:t xml:space="preserve"> таємниці нарадчої кімнати та вважає, що рішення про притягнення судді до дисциплінарної відповідальності не може вважатися таким, що ухвалене у порядку, визначеному чинним законодавством України.</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Додатково</w:t>
      </w:r>
      <w:r w:rsidRPr="0042294B">
        <w:rPr>
          <w:rFonts w:ascii="Times New Roman" w:eastAsia="Arial" w:hAnsi="Times New Roman"/>
          <w:color w:val="000000" w:themeColor="text1"/>
          <w:sz w:val="28"/>
          <w:szCs w:val="28"/>
        </w:rPr>
        <w:t xml:space="preserve"> представник судді звертає увагу </w:t>
      </w:r>
      <w:r w:rsidRPr="0042294B">
        <w:rPr>
          <w:rFonts w:ascii="Times New Roman" w:hAnsi="Times New Roman"/>
          <w:color w:val="000000" w:themeColor="text1"/>
          <w:sz w:val="28"/>
          <w:szCs w:val="28"/>
        </w:rPr>
        <w:t xml:space="preserve">на вибірковий підхід дисциплінарних органів Вищої ради правосуддя до надання оцінки та кваліфікації дій суддів при вирішенні питання про вчинення істотного дисциплінарного проступку, на підтвердження чого посилається на рішення Першої Дисциплінарної палати Вищої ради правосуддя від 22 грудня 2017 року № 4248/1дп/15-17, в якому, на її думку, за схожих обставин інакше кваліфіковані дії судді та зроблено протилежні висновки і відмовлено у відкритті дисциплінарної справи. </w:t>
      </w:r>
    </w:p>
    <w:p w:rsidR="00B826B7" w:rsidRPr="0042294B" w:rsidRDefault="00B826B7" w:rsidP="00B826B7">
      <w:pPr>
        <w:pStyle w:val="20"/>
        <w:shd w:val="clear" w:color="auto" w:fill="auto"/>
        <w:spacing w:after="0" w:line="240" w:lineRule="auto"/>
        <w:ind w:firstLine="709"/>
        <w:jc w:val="both"/>
        <w:rPr>
          <w:rFonts w:ascii="Times New Roman" w:hAnsi="Times New Roman"/>
          <w:b w:val="0"/>
          <w:color w:val="000000" w:themeColor="text1"/>
          <w:sz w:val="28"/>
          <w:szCs w:val="28"/>
        </w:rPr>
      </w:pPr>
      <w:r w:rsidRPr="0042294B">
        <w:rPr>
          <w:rFonts w:ascii="Times New Roman" w:hAnsi="Times New Roman"/>
          <w:b w:val="0"/>
          <w:color w:val="000000" w:themeColor="text1"/>
          <w:sz w:val="28"/>
          <w:szCs w:val="28"/>
        </w:rPr>
        <w:t>За таких обставин просить скасувати повністю рішення Третьої Дисциплінарної палати Вищої ради правосуддя від 23 січня 2019 року № 181/3дп/15-19 та закрити дисциплінарне провадження.</w:t>
      </w:r>
    </w:p>
    <w:p w:rsidR="00B826B7" w:rsidRPr="0042294B" w:rsidRDefault="00B826B7" w:rsidP="00B826B7">
      <w:pPr>
        <w:pStyle w:val="a3"/>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Стосовно вказаних доводів скарг Вища рада правосуддя вважає за необхідне зазначити таке.</w:t>
      </w:r>
    </w:p>
    <w:p w:rsidR="00B826B7" w:rsidRPr="0042294B" w:rsidRDefault="00B826B7" w:rsidP="00B826B7">
      <w:pPr>
        <w:pStyle w:val="a3"/>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Відповідно до частин першої, другої статті 149 ЦПК України (в редакції, чинній на дату постановлення ухвали про забезпечення позову) суд за заявою учасника справи має право вжити передбачених </w:t>
      </w:r>
      <w:hyperlink r:id="rId12" w:anchor="n7091" w:history="1">
        <w:r w:rsidRPr="0042294B">
          <w:rPr>
            <w:rFonts w:ascii="Times New Roman" w:hAnsi="Times New Roman"/>
            <w:color w:val="000000" w:themeColor="text1"/>
            <w:sz w:val="28"/>
            <w:szCs w:val="28"/>
          </w:rPr>
          <w:t>статтею 150</w:t>
        </w:r>
      </w:hyperlink>
      <w:r w:rsidRPr="0042294B">
        <w:rPr>
          <w:rFonts w:ascii="Times New Roman" w:hAnsi="Times New Roman"/>
          <w:color w:val="000000" w:themeColor="text1"/>
          <w:sz w:val="28"/>
          <w:szCs w:val="28"/>
        </w:rPr>
        <w:t xml:space="preserve"> цього Кодексу заходів забезпечення позову.</w:t>
      </w:r>
      <w:bookmarkStart w:id="1" w:name="n7089"/>
      <w:bookmarkEnd w:id="1"/>
      <w:r w:rsidRPr="0042294B">
        <w:rPr>
          <w:rFonts w:ascii="Times New Roman" w:hAnsi="Times New Roman"/>
          <w:color w:val="000000" w:themeColor="text1"/>
          <w:sz w:val="28"/>
          <w:szCs w:val="28"/>
        </w:rPr>
        <w:t xml:space="preserve">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42294B">
        <w:rPr>
          <w:rFonts w:ascii="Times New Roman" w:hAnsi="Times New Roman"/>
          <w:color w:val="000000" w:themeColor="text1"/>
          <w:sz w:val="28"/>
          <w:szCs w:val="28"/>
        </w:rPr>
        <w:t>оспорюваних</w:t>
      </w:r>
      <w:proofErr w:type="spellEnd"/>
      <w:r w:rsidRPr="0042294B">
        <w:rPr>
          <w:rFonts w:ascii="Times New Roman" w:hAnsi="Times New Roman"/>
          <w:color w:val="000000" w:themeColor="text1"/>
          <w:sz w:val="28"/>
          <w:szCs w:val="28"/>
        </w:rPr>
        <w:t xml:space="preserve"> прав або інтересів позивача, за захистом яких він звернувся або має намір звернутися до суду.</w:t>
      </w:r>
    </w:p>
    <w:p w:rsidR="00B826B7" w:rsidRPr="0042294B" w:rsidRDefault="00B826B7" w:rsidP="00B826B7">
      <w:pPr>
        <w:widowControl w:val="0"/>
        <w:suppressAutoHyphens/>
        <w:autoSpaceDN w:val="0"/>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Отже, умовою застосування забезпечення позову є обґрунтоване припущення, що невжиття таких заходів може, зокрема, утруднити або унеможливити виконання рішення по суті позовних вимог у разі задоволення позовних вимог.</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Пунктами 1, 7 частини першої, частинами другою, третьою статті 150 ЦПК України визначено, що позов забезпечується накладенням арешту на майно та (або) грошові кошти, що належать або підлягають передачі або сплаті відповідачеві і знаходяться у нього чи в інших осіб; </w:t>
      </w:r>
      <w:r w:rsidRPr="0042294B">
        <w:rPr>
          <w:rFonts w:ascii="Times New Roman" w:hAnsi="Times New Roman"/>
          <w:color w:val="000000" w:themeColor="text1"/>
          <w:sz w:val="28"/>
          <w:szCs w:val="28"/>
        </w:rPr>
        <w:lastRenderedPageBreak/>
        <w:t xml:space="preserve">передачею речі, яка є предметом спору, на зберігання іншим особам, які не мають інтересу в результаті вирішення спору. Суд може застосувати кілька видів забезпечення позову. Заходи забезпечення позову мають бути </w:t>
      </w:r>
      <w:proofErr w:type="spellStart"/>
      <w:r w:rsidRPr="0042294B">
        <w:rPr>
          <w:rFonts w:ascii="Times New Roman" w:hAnsi="Times New Roman"/>
          <w:color w:val="000000" w:themeColor="text1"/>
          <w:sz w:val="28"/>
          <w:szCs w:val="28"/>
        </w:rPr>
        <w:t>співмірними</w:t>
      </w:r>
      <w:proofErr w:type="spellEnd"/>
      <w:r w:rsidRPr="0042294B">
        <w:rPr>
          <w:rFonts w:ascii="Times New Roman" w:hAnsi="Times New Roman"/>
          <w:color w:val="000000" w:themeColor="text1"/>
          <w:sz w:val="28"/>
          <w:szCs w:val="28"/>
        </w:rPr>
        <w:t xml:space="preserve"> із заявленими позивачем вимогами.</w:t>
      </w:r>
    </w:p>
    <w:p w:rsidR="00B826B7" w:rsidRPr="0042294B" w:rsidRDefault="00B826B7" w:rsidP="00B826B7">
      <w:pPr>
        <w:widowControl w:val="0"/>
        <w:suppressAutoHyphens/>
        <w:autoSpaceDN w:val="0"/>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Як роз’яснено в пункті 4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bookmarkStart w:id="2" w:name="o16"/>
      <w:bookmarkEnd w:id="2"/>
      <w:r w:rsidRPr="0042294B">
        <w:rPr>
          <w:rFonts w:ascii="Times New Roman" w:hAnsi="Times New Roman"/>
          <w:color w:val="000000" w:themeColor="text1"/>
          <w:sz w:val="28"/>
          <w:szCs w:val="28"/>
        </w:rPr>
        <w:t xml:space="preserve"> При встановленні зазначеної відповідності слід враховувати, що вжиті заходи не повинні перешкоджати господарській діяльності юридичної або фізичної особи, яка здійснює таку діяльність і зареєстрована відповідно до закону як підприємець.</w:t>
      </w:r>
      <w:bookmarkStart w:id="3" w:name="o17"/>
      <w:bookmarkEnd w:id="3"/>
      <w:r w:rsidRPr="0042294B">
        <w:rPr>
          <w:rFonts w:ascii="Times New Roman" w:hAnsi="Times New Roman"/>
          <w:color w:val="000000" w:themeColor="text1"/>
          <w:sz w:val="28"/>
          <w:szCs w:val="28"/>
        </w:rPr>
        <w:t xml:space="preserve"> 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w:t>
      </w:r>
    </w:p>
    <w:p w:rsidR="00B826B7" w:rsidRPr="0042294B" w:rsidRDefault="00B826B7" w:rsidP="00B8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color w:val="000000" w:themeColor="text1"/>
          <w:sz w:val="28"/>
          <w:szCs w:val="28"/>
        </w:rPr>
      </w:pPr>
      <w:r w:rsidRPr="0042294B">
        <w:rPr>
          <w:rFonts w:ascii="Times New Roman" w:hAnsi="Times New Roman"/>
          <w:color w:val="000000" w:themeColor="text1"/>
          <w:sz w:val="28"/>
          <w:szCs w:val="28"/>
          <w:lang w:eastAsia="uk-UA"/>
        </w:rPr>
        <w:t xml:space="preserve">Як свідчить зміст ухвали суду про забезпечення позову, вказані вимоги при вирішенні питання про забезпечення позову суддею не були дотримані. </w:t>
      </w:r>
    </w:p>
    <w:p w:rsidR="00B826B7" w:rsidRPr="0042294B" w:rsidRDefault="00B826B7" w:rsidP="00B8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Зокрема, підставами для вжиття заходів забезпечення позову суд визначив наявність між сторонами спору щодо витребування</w:t>
      </w:r>
      <w:r w:rsidR="003A3DFF" w:rsidRPr="0042294B">
        <w:rPr>
          <w:rFonts w:ascii="Times New Roman" w:hAnsi="Times New Roman"/>
          <w:color w:val="000000" w:themeColor="text1"/>
          <w:sz w:val="28"/>
          <w:szCs w:val="28"/>
        </w:rPr>
        <w:t xml:space="preserve"> майна </w:t>
      </w:r>
      <w:r w:rsidRPr="0042294B">
        <w:rPr>
          <w:rFonts w:ascii="Times New Roman" w:hAnsi="Times New Roman"/>
          <w:color w:val="000000" w:themeColor="text1"/>
          <w:sz w:val="28"/>
          <w:szCs w:val="28"/>
        </w:rPr>
        <w:t>та зобов’язання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звільнити нерухоме майно, відкриття судом провадження за цим позовом, існування вірогідності та ризиків, що невжиття заходів забезпечення позову може утруднити чи зробити неможливим виконання рішення суду. Суд послався на те, що відповідно до Державного реєстру речових прав на нерухоме майно </w:t>
      </w:r>
      <w:r w:rsidR="003A3DFF" w:rsidRPr="0042294B">
        <w:rPr>
          <w:rFonts w:ascii="Times New Roman" w:hAnsi="Times New Roman"/>
          <w:color w:val="000000" w:themeColor="text1"/>
          <w:sz w:val="28"/>
          <w:szCs w:val="28"/>
        </w:rPr>
        <w:t xml:space="preserve">відповідач </w:t>
      </w:r>
      <w:r w:rsidRPr="0042294B">
        <w:rPr>
          <w:rFonts w:ascii="Times New Roman" w:hAnsi="Times New Roman"/>
          <w:color w:val="000000" w:themeColor="text1"/>
          <w:sz w:val="28"/>
          <w:szCs w:val="28"/>
        </w:rPr>
        <w:t>є власником спірного майна та має усі можливості вільно розпоряджатися спірним майном, тобто може в будь-який час укласти правочин та відчужити це майно третім особам, що може утруднити чи зробити неможливим виконання рішення суду.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Для забезпечення можливості реального виконання рішення суду, суд першої інстанції вважав за необхідне передати спірне майно на зберігання незалежній ліцензованій охоронній фірмі, яка забезпечить охорону спірного майна до вирішення спору.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Ухвалою апеляційного суду Одеської області від 9 жовтня 2018 року скасовано ухвалу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від 11 червня 2018 року про забезпечення позову та ухвалено нове судове рішення про залишення без задоволення заяви представника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 адвоката </w:t>
      </w:r>
      <w:r w:rsidR="00045871" w:rsidRPr="0042294B">
        <w:rPr>
          <w:rFonts w:ascii="Times New Roman" w:hAnsi="Times New Roman"/>
          <w:color w:val="000000" w:themeColor="text1"/>
          <w:sz w:val="28"/>
          <w:szCs w:val="28"/>
        </w:rPr>
        <w:t>ОСОБА_2</w:t>
      </w:r>
      <w:r w:rsidRPr="0042294B">
        <w:rPr>
          <w:rFonts w:ascii="Times New Roman" w:hAnsi="Times New Roman"/>
          <w:color w:val="000000" w:themeColor="text1"/>
          <w:sz w:val="28"/>
          <w:szCs w:val="28"/>
        </w:rPr>
        <w:t xml:space="preserve"> про забезпечення позову.</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Апеляційний суд виходив із того, що з огляду на суть заявлених вимог і встановлених обставин, беручи до уваги, як саме позивач обґрунтувала порушення свого права і необхідність забезпечення поданого нею позову про витребування майна на користь ТОВ «Рубікон-II», у суду першої інстанції не </w:t>
      </w:r>
      <w:r w:rsidRPr="0042294B">
        <w:rPr>
          <w:rFonts w:ascii="Times New Roman" w:hAnsi="Times New Roman"/>
          <w:color w:val="000000" w:themeColor="text1"/>
          <w:sz w:val="28"/>
          <w:szCs w:val="28"/>
        </w:rPr>
        <w:lastRenderedPageBreak/>
        <w:t xml:space="preserve">було підстав для вжиття заходів забезпечення позову шляхом накладення арешту і його передачі іншій юридичній особі.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Суд апеляційної інстанції зазначив, що місцевий суд не врахував, що підприємство «Рубікон-II», в інтересах якого фактично і заявлено позов про витребування майна, безпосередньо не зверталось до суду з відповідним позовом до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xml:space="preserve">» та не вживало передбачених законом заходів, спрямованих на забезпечення позову, не встановив, хто саме і на якій правовій підставі на час постановлення оскаржуваної ухвали користується спірним майном, яким чином заходи забезпечення позову можуть вплинути на права та законні інтереси цієї особи, на її господарську діяльність, та не обґрунтував неможливість або утруднення виконання рішення суду в контексті заявлених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вимог. За висновками суду апеляційної інстанції лише у разі вирішення вказаних питань, встановлення обставин, які мають значення для вирішення питання про забезпечення позову, надання оцінки, чи не вплине вжиття заходів забезпечення позову у вигляді арешту та передачі іншій юридичній особі, та обґрунтування неможливості або утруднення виконання судового рішення</w:t>
      </w:r>
      <w:r w:rsidR="003A3DFF"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 xml:space="preserve"> вважається, що заходи забезпечення позову судом вжиті відповідно до вимог цивільного процесуального законодавства.</w:t>
      </w:r>
    </w:p>
    <w:p w:rsidR="00B826B7" w:rsidRPr="0042294B" w:rsidRDefault="00B826B7" w:rsidP="00B826B7">
      <w:pPr>
        <w:pStyle w:val="HTML"/>
        <w:ind w:firstLine="709"/>
        <w:jc w:val="both"/>
        <w:textAlignment w:val="baseline"/>
        <w:rPr>
          <w:rFonts w:ascii="Times New Roman" w:hAnsi="Times New Roman" w:cs="Times New Roman"/>
          <w:color w:val="000000" w:themeColor="text1"/>
          <w:sz w:val="28"/>
          <w:szCs w:val="28"/>
        </w:rPr>
      </w:pPr>
      <w:r w:rsidRPr="0042294B">
        <w:rPr>
          <w:rFonts w:ascii="Times New Roman" w:hAnsi="Times New Roman" w:cs="Times New Roman"/>
          <w:color w:val="000000" w:themeColor="text1"/>
          <w:sz w:val="28"/>
          <w:szCs w:val="28"/>
        </w:rPr>
        <w:t xml:space="preserve">Згідно з усталеною практикою Європейського суду з прав людини заходи щодо арешту (заборони відчуження) майна </w:t>
      </w:r>
      <w:r w:rsidRPr="0042294B">
        <w:rPr>
          <w:rFonts w:ascii="Times New Roman" w:hAnsi="Times New Roman" w:cs="Times New Roman"/>
          <w:color w:val="000000" w:themeColor="text1"/>
          <w:sz w:val="28"/>
          <w:szCs w:val="28"/>
          <w:shd w:val="clear" w:color="auto" w:fill="FFFFFF"/>
        </w:rPr>
        <w:t>зазвичай пов’язані зі здійсненням контролю за використанням власності, що охоплюється сферою застосування абзацу другого статті 1 Першого протоколу до Конвенції про захист прав людини і основоположних свобод (</w:t>
      </w:r>
      <w:r w:rsidRPr="0042294B">
        <w:rPr>
          <w:rStyle w:val="rvts9"/>
          <w:rFonts w:ascii="Times New Roman" w:eastAsia="Calibri" w:hAnsi="Times New Roman" w:cs="Times New Roman"/>
          <w:bCs/>
          <w:color w:val="000000" w:themeColor="text1"/>
          <w:sz w:val="28"/>
          <w:szCs w:val="28"/>
          <w:shd w:val="clear" w:color="auto" w:fill="FFFFFF"/>
        </w:rPr>
        <w:t xml:space="preserve">пункт 185 рішення </w:t>
      </w:r>
      <w:r w:rsidRPr="0042294B">
        <w:rPr>
          <w:rFonts w:ascii="Times New Roman" w:hAnsi="Times New Roman" w:cs="Times New Roman"/>
          <w:color w:val="000000" w:themeColor="text1"/>
          <w:sz w:val="28"/>
          <w:szCs w:val="28"/>
        </w:rPr>
        <w:t>у с</w:t>
      </w:r>
      <w:r w:rsidRPr="0042294B">
        <w:rPr>
          <w:rStyle w:val="rvts23"/>
          <w:rFonts w:ascii="Times New Roman" w:hAnsi="Times New Roman" w:cs="Times New Roman"/>
          <w:bCs/>
          <w:color w:val="000000" w:themeColor="text1"/>
          <w:sz w:val="28"/>
          <w:szCs w:val="28"/>
          <w:shd w:val="clear" w:color="auto" w:fill="FFFFFF"/>
        </w:rPr>
        <w:t>праві «</w:t>
      </w:r>
      <w:proofErr w:type="spellStart"/>
      <w:r w:rsidRPr="0042294B">
        <w:rPr>
          <w:rStyle w:val="rvts23"/>
          <w:rFonts w:ascii="Times New Roman" w:hAnsi="Times New Roman" w:cs="Times New Roman"/>
          <w:bCs/>
          <w:color w:val="000000" w:themeColor="text1"/>
          <w:sz w:val="28"/>
          <w:szCs w:val="28"/>
          <w:shd w:val="clear" w:color="auto" w:fill="FFFFFF"/>
        </w:rPr>
        <w:t>East</w:t>
      </w:r>
      <w:proofErr w:type="spellEnd"/>
      <w:r w:rsidRPr="0042294B">
        <w:rPr>
          <w:rStyle w:val="rvts23"/>
          <w:rFonts w:ascii="Times New Roman" w:hAnsi="Times New Roman" w:cs="Times New Roman"/>
          <w:bCs/>
          <w:color w:val="000000" w:themeColor="text1"/>
          <w:sz w:val="28"/>
          <w:szCs w:val="28"/>
          <w:shd w:val="clear" w:color="auto" w:fill="FFFFFF"/>
        </w:rPr>
        <w:t>/</w:t>
      </w:r>
      <w:proofErr w:type="spellStart"/>
      <w:r w:rsidRPr="0042294B">
        <w:rPr>
          <w:rStyle w:val="rvts23"/>
          <w:rFonts w:ascii="Times New Roman" w:hAnsi="Times New Roman" w:cs="Times New Roman"/>
          <w:bCs/>
          <w:color w:val="000000" w:themeColor="text1"/>
          <w:sz w:val="28"/>
          <w:szCs w:val="28"/>
          <w:shd w:val="clear" w:color="auto" w:fill="FFFFFF"/>
        </w:rPr>
        <w:t>West</w:t>
      </w:r>
      <w:proofErr w:type="spellEnd"/>
      <w:r w:rsidRPr="0042294B">
        <w:rPr>
          <w:rStyle w:val="rvts23"/>
          <w:rFonts w:ascii="Times New Roman" w:hAnsi="Times New Roman" w:cs="Times New Roman"/>
          <w:bCs/>
          <w:color w:val="000000" w:themeColor="text1"/>
          <w:sz w:val="28"/>
          <w:szCs w:val="28"/>
          <w:shd w:val="clear" w:color="auto" w:fill="FFFFFF"/>
        </w:rPr>
        <w:t xml:space="preserve"> </w:t>
      </w:r>
      <w:proofErr w:type="spellStart"/>
      <w:r w:rsidRPr="0042294B">
        <w:rPr>
          <w:rStyle w:val="rvts23"/>
          <w:rFonts w:ascii="Times New Roman" w:hAnsi="Times New Roman" w:cs="Times New Roman"/>
          <w:bCs/>
          <w:color w:val="000000" w:themeColor="text1"/>
          <w:sz w:val="28"/>
          <w:szCs w:val="28"/>
          <w:shd w:val="clear" w:color="auto" w:fill="FFFFFF"/>
        </w:rPr>
        <w:t>Alliance</w:t>
      </w:r>
      <w:proofErr w:type="spellEnd"/>
      <w:r w:rsidRPr="0042294B">
        <w:rPr>
          <w:rStyle w:val="rvts23"/>
          <w:rFonts w:ascii="Times New Roman" w:hAnsi="Times New Roman" w:cs="Times New Roman"/>
          <w:bCs/>
          <w:color w:val="000000" w:themeColor="text1"/>
          <w:sz w:val="28"/>
          <w:szCs w:val="28"/>
          <w:shd w:val="clear" w:color="auto" w:fill="FFFFFF"/>
        </w:rPr>
        <w:t xml:space="preserve"> </w:t>
      </w:r>
      <w:proofErr w:type="spellStart"/>
      <w:r w:rsidRPr="0042294B">
        <w:rPr>
          <w:rStyle w:val="rvts23"/>
          <w:rFonts w:ascii="Times New Roman" w:hAnsi="Times New Roman" w:cs="Times New Roman"/>
          <w:bCs/>
          <w:color w:val="000000" w:themeColor="text1"/>
          <w:sz w:val="28"/>
          <w:szCs w:val="28"/>
          <w:shd w:val="clear" w:color="auto" w:fill="FFFFFF"/>
        </w:rPr>
        <w:t>Limited</w:t>
      </w:r>
      <w:proofErr w:type="spellEnd"/>
      <w:r w:rsidRPr="0042294B">
        <w:rPr>
          <w:rStyle w:val="rvts23"/>
          <w:rFonts w:ascii="Times New Roman" w:hAnsi="Times New Roman" w:cs="Times New Roman"/>
          <w:bCs/>
          <w:color w:val="000000" w:themeColor="text1"/>
          <w:sz w:val="28"/>
          <w:szCs w:val="28"/>
          <w:shd w:val="clear" w:color="auto" w:fill="FFFFFF"/>
        </w:rPr>
        <w:t>» проти України» (заява № 19336/04)</w:t>
      </w:r>
      <w:r w:rsidRPr="0042294B">
        <w:rPr>
          <w:rFonts w:ascii="Times New Roman" w:hAnsi="Times New Roman" w:cs="Times New Roman"/>
          <w:color w:val="000000" w:themeColor="text1"/>
          <w:sz w:val="28"/>
          <w:szCs w:val="28"/>
        </w:rPr>
        <w:t xml:space="preserve">.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Як правильно встановлено Дисциплінарною палатою, наклавши арешт на спірне майно та передавши його на зберігання ПП «Спрут», суддя фактично вирішив спір по суті, причому спір не між позивачем і відповідачем, а між відповідачем і третьою особою.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Вказаний висновок підтверджується тим, що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звернулась до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як засновник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а зі змісту позовних вимог вбачається, що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просила витребувати спірне майно саме на користь третьої особи –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Статтею 4 ЦПК України передбачено, що </w:t>
      </w:r>
      <w:bookmarkStart w:id="4" w:name="n6061"/>
      <w:bookmarkEnd w:id="4"/>
      <w:r w:rsidRPr="0042294B">
        <w:rPr>
          <w:rFonts w:ascii="Times New Roman" w:hAnsi="Times New Roman"/>
          <w:color w:val="000000" w:themeColor="text1"/>
          <w:sz w:val="28"/>
          <w:szCs w:val="28"/>
        </w:rPr>
        <w:t xml:space="preserve">кожна особа має право в порядку, встановленому цим Кодексом, звернутися до суду за захистом своїх порушених, невизнаних або </w:t>
      </w:r>
      <w:proofErr w:type="spellStart"/>
      <w:r w:rsidRPr="0042294B">
        <w:rPr>
          <w:rFonts w:ascii="Times New Roman" w:hAnsi="Times New Roman"/>
          <w:color w:val="000000" w:themeColor="text1"/>
          <w:sz w:val="28"/>
          <w:szCs w:val="28"/>
        </w:rPr>
        <w:t>оспорюваних</w:t>
      </w:r>
      <w:proofErr w:type="spellEnd"/>
      <w:r w:rsidRPr="0042294B">
        <w:rPr>
          <w:rFonts w:ascii="Times New Roman" w:hAnsi="Times New Roman"/>
          <w:color w:val="000000" w:themeColor="text1"/>
          <w:sz w:val="28"/>
          <w:szCs w:val="28"/>
        </w:rPr>
        <w:t xml:space="preserve"> прав, свобод чи законних інтересів.</w:t>
      </w:r>
      <w:bookmarkStart w:id="5" w:name="n6067"/>
      <w:bookmarkEnd w:id="5"/>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 (частина перша статті 5 ЦПК України).</w:t>
      </w:r>
    </w:p>
    <w:p w:rsidR="00B826B7" w:rsidRPr="0042294B" w:rsidRDefault="00B826B7" w:rsidP="00B826B7">
      <w:pPr>
        <w:widowControl w:val="0"/>
        <w:suppressAutoHyphens/>
        <w:autoSpaceDN w:val="0"/>
        <w:spacing w:after="0" w:line="240" w:lineRule="auto"/>
        <w:ind w:firstLine="709"/>
        <w:jc w:val="both"/>
        <w:rPr>
          <w:rFonts w:ascii="Times New Roman" w:hAnsi="Times New Roman"/>
          <w:color w:val="000000" w:themeColor="text1"/>
          <w:sz w:val="28"/>
          <w:szCs w:val="28"/>
          <w:shd w:val="clear" w:color="auto" w:fill="FFFFFF"/>
        </w:rPr>
      </w:pPr>
      <w:r w:rsidRPr="0042294B">
        <w:rPr>
          <w:rFonts w:ascii="Times New Roman" w:hAnsi="Times New Roman"/>
          <w:color w:val="000000" w:themeColor="text1"/>
          <w:sz w:val="28"/>
          <w:szCs w:val="28"/>
        </w:rPr>
        <w:t>За загальним правилом </w:t>
      </w:r>
      <w:r w:rsidRPr="0042294B">
        <w:rPr>
          <w:rFonts w:ascii="Times New Roman" w:hAnsi="Times New Roman"/>
          <w:color w:val="000000" w:themeColor="text1"/>
          <w:sz w:val="28"/>
          <w:szCs w:val="28"/>
          <w:shd w:val="clear" w:color="auto" w:fill="FFFFFF"/>
        </w:rPr>
        <w:t>право на звернення до суду за захистом особа має у разі порушення, невизнання або оспорювання її власних прав, свобод чи інтересів (</w:t>
      </w:r>
      <w:r w:rsidRPr="0042294B">
        <w:rPr>
          <w:rFonts w:ascii="Times New Roman" w:hAnsi="Times New Roman"/>
          <w:color w:val="000000" w:themeColor="text1"/>
          <w:sz w:val="28"/>
          <w:szCs w:val="28"/>
        </w:rPr>
        <w:t>стаття 15, </w:t>
      </w:r>
      <w:r w:rsidRPr="0042294B">
        <w:rPr>
          <w:rFonts w:ascii="Times New Roman" w:hAnsi="Times New Roman"/>
          <w:color w:val="000000" w:themeColor="text1"/>
          <w:sz w:val="28"/>
          <w:szCs w:val="28"/>
          <w:shd w:val="clear" w:color="auto" w:fill="FFFFFF"/>
        </w:rPr>
        <w:t xml:space="preserve">частина перша статті 16 ЦК України, частина перша статті 4 ЦПК України). Обраний спосіб захисту цивільного права має </w:t>
      </w:r>
      <w:r w:rsidR="003A3DFF" w:rsidRPr="0042294B">
        <w:rPr>
          <w:rFonts w:ascii="Times New Roman" w:hAnsi="Times New Roman"/>
          <w:color w:val="000000" w:themeColor="text1"/>
          <w:sz w:val="28"/>
          <w:szCs w:val="28"/>
          <w:shd w:val="clear" w:color="auto" w:fill="FFFFFF"/>
        </w:rPr>
        <w:t xml:space="preserve">забезпечувати </w:t>
      </w:r>
      <w:r w:rsidRPr="0042294B">
        <w:rPr>
          <w:rFonts w:ascii="Times New Roman" w:hAnsi="Times New Roman"/>
          <w:color w:val="000000" w:themeColor="text1"/>
          <w:sz w:val="28"/>
          <w:szCs w:val="28"/>
          <w:shd w:val="clear" w:color="auto" w:fill="FFFFFF"/>
        </w:rPr>
        <w:t xml:space="preserve">захист порушеного чи </w:t>
      </w:r>
      <w:proofErr w:type="spellStart"/>
      <w:r w:rsidRPr="0042294B">
        <w:rPr>
          <w:rFonts w:ascii="Times New Roman" w:hAnsi="Times New Roman"/>
          <w:color w:val="000000" w:themeColor="text1"/>
          <w:sz w:val="28"/>
          <w:szCs w:val="28"/>
          <w:shd w:val="clear" w:color="auto" w:fill="FFFFFF"/>
        </w:rPr>
        <w:t>оспорюваного</w:t>
      </w:r>
      <w:proofErr w:type="spellEnd"/>
      <w:r w:rsidRPr="0042294B">
        <w:rPr>
          <w:rFonts w:ascii="Times New Roman" w:hAnsi="Times New Roman"/>
          <w:color w:val="000000" w:themeColor="text1"/>
          <w:sz w:val="28"/>
          <w:szCs w:val="28"/>
          <w:shd w:val="clear" w:color="auto" w:fill="FFFFFF"/>
        </w:rPr>
        <w:t xml:space="preserve"> права або інтересу. </w:t>
      </w:r>
    </w:p>
    <w:p w:rsidR="00B826B7" w:rsidRPr="0042294B" w:rsidRDefault="00B826B7" w:rsidP="00B826B7">
      <w:pPr>
        <w:widowControl w:val="0"/>
        <w:suppressAutoHyphens/>
        <w:autoSpaceDN w:val="0"/>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Встановлені Дисциплінарною палатою обставини, зміст позовних вимог </w:t>
      </w:r>
      <w:r w:rsidRPr="0042294B">
        <w:rPr>
          <w:rFonts w:ascii="Times New Roman" w:hAnsi="Times New Roman"/>
          <w:color w:val="000000" w:themeColor="text1"/>
          <w:sz w:val="28"/>
          <w:szCs w:val="28"/>
        </w:rPr>
        <w:lastRenderedPageBreak/>
        <w:t xml:space="preserve">і підстави позову, поданого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xml:space="preserve">, свідчать, що обраний позивачем у цій справі спосіб захисту не призводить до відновлення її прав, а можливості звернення позивача до суду для відновлення права власності на нерухоме майно </w:t>
      </w:r>
      <w:r w:rsidR="00A44D93" w:rsidRPr="0042294B">
        <w:rPr>
          <w:rFonts w:ascii="Times New Roman" w:hAnsi="Times New Roman"/>
          <w:color w:val="000000" w:themeColor="text1"/>
          <w:sz w:val="28"/>
          <w:szCs w:val="28"/>
        </w:rPr>
        <w:t xml:space="preserve">третьої особи </w:t>
      </w:r>
      <w:r w:rsidRPr="0042294B">
        <w:rPr>
          <w:rFonts w:ascii="Times New Roman" w:hAnsi="Times New Roman"/>
          <w:color w:val="000000" w:themeColor="text1"/>
          <w:sz w:val="28"/>
          <w:szCs w:val="28"/>
        </w:rPr>
        <w:t>процесуальний закон не передбачає.</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Положеннями чинного законодавства не передбачено також право звернення учасника (засновника, акціонера, члена) юридичної особи до суду за захистом прав чи охоронюваних законом інтересів цієї особи поза відносинами представництва, окрім позовів про відшкодування збитків, заподіяних юридичній особі її посадовою особою. </w:t>
      </w:r>
    </w:p>
    <w:p w:rsidR="00B826B7" w:rsidRPr="0042294B" w:rsidRDefault="00B826B7" w:rsidP="00B826B7">
      <w:pPr>
        <w:spacing w:after="0" w:line="240" w:lineRule="auto"/>
        <w:ind w:firstLine="709"/>
        <w:contextualSpacing/>
        <w:jc w:val="both"/>
        <w:rPr>
          <w:rStyle w:val="rvts30"/>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Крім цього, </w:t>
      </w:r>
      <w:r w:rsidRPr="0042294B">
        <w:rPr>
          <w:rStyle w:val="rvts30"/>
          <w:rFonts w:ascii="Times New Roman" w:hAnsi="Times New Roman"/>
          <w:color w:val="000000" w:themeColor="text1"/>
          <w:sz w:val="28"/>
          <w:szCs w:val="28"/>
        </w:rPr>
        <w:t>спірні відносини виникли між юридичними особами, зокрема ТОВ «</w:t>
      </w:r>
      <w:proofErr w:type="spellStart"/>
      <w:r w:rsidRPr="0042294B">
        <w:rPr>
          <w:rStyle w:val="rvts30"/>
          <w:rFonts w:ascii="Times New Roman" w:hAnsi="Times New Roman"/>
          <w:color w:val="000000" w:themeColor="text1"/>
          <w:sz w:val="28"/>
          <w:szCs w:val="28"/>
        </w:rPr>
        <w:t>Рубікон-ІІ</w:t>
      </w:r>
      <w:proofErr w:type="spellEnd"/>
      <w:r w:rsidRPr="0042294B">
        <w:rPr>
          <w:rStyle w:val="rvts30"/>
          <w:rFonts w:ascii="Times New Roman" w:hAnsi="Times New Roman"/>
          <w:color w:val="000000" w:themeColor="text1"/>
          <w:sz w:val="28"/>
          <w:szCs w:val="28"/>
        </w:rPr>
        <w:t>» та ТОВ «</w:t>
      </w:r>
      <w:proofErr w:type="spellStart"/>
      <w:r w:rsidRPr="0042294B">
        <w:rPr>
          <w:rStyle w:val="rvts30"/>
          <w:rFonts w:ascii="Times New Roman" w:hAnsi="Times New Roman"/>
          <w:color w:val="000000" w:themeColor="text1"/>
          <w:sz w:val="28"/>
          <w:szCs w:val="28"/>
        </w:rPr>
        <w:t>Сауспальм</w:t>
      </w:r>
      <w:proofErr w:type="spellEnd"/>
      <w:r w:rsidRPr="0042294B">
        <w:rPr>
          <w:rStyle w:val="rvts30"/>
          <w:rFonts w:ascii="Times New Roman" w:hAnsi="Times New Roman"/>
          <w:color w:val="000000" w:themeColor="text1"/>
          <w:sz w:val="28"/>
          <w:szCs w:val="28"/>
        </w:rPr>
        <w:t>», з приводу нерухомого майна, яке до звернення на нього стягнення належало ТОВ «</w:t>
      </w:r>
      <w:proofErr w:type="spellStart"/>
      <w:r w:rsidRPr="0042294B">
        <w:rPr>
          <w:rStyle w:val="rvts30"/>
          <w:rFonts w:ascii="Times New Roman" w:hAnsi="Times New Roman"/>
          <w:color w:val="000000" w:themeColor="text1"/>
          <w:sz w:val="28"/>
          <w:szCs w:val="28"/>
        </w:rPr>
        <w:t>Рубікон-ІІ</w:t>
      </w:r>
      <w:proofErr w:type="spellEnd"/>
      <w:r w:rsidRPr="0042294B">
        <w:rPr>
          <w:rStyle w:val="rvts30"/>
          <w:rFonts w:ascii="Times New Roman" w:hAnsi="Times New Roman"/>
          <w:color w:val="000000" w:themeColor="text1"/>
          <w:sz w:val="28"/>
          <w:szCs w:val="28"/>
        </w:rPr>
        <w:t>» на праві власності, а тому спір про витребування такого майна підлягав розгляду за правилами господарського судочинства.</w:t>
      </w:r>
    </w:p>
    <w:p w:rsidR="00B826B7" w:rsidRPr="0042294B" w:rsidRDefault="00B826B7" w:rsidP="00B8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lang w:eastAsia="uk-UA"/>
        </w:rPr>
      </w:pPr>
      <w:r w:rsidRPr="0042294B">
        <w:rPr>
          <w:rFonts w:ascii="Times New Roman" w:hAnsi="Times New Roman"/>
          <w:color w:val="000000" w:themeColor="text1"/>
          <w:sz w:val="28"/>
          <w:szCs w:val="28"/>
          <w:lang w:eastAsia="uk-UA"/>
        </w:rPr>
        <w:t xml:space="preserve">Отже, Дисциплінарна палата дійшла обґрунтованого висновку, що </w:t>
      </w:r>
      <w:r w:rsidRPr="0042294B">
        <w:rPr>
          <w:rFonts w:ascii="Times New Roman" w:hAnsi="Times New Roman"/>
          <w:color w:val="000000" w:themeColor="text1"/>
          <w:sz w:val="28"/>
          <w:szCs w:val="28"/>
        </w:rPr>
        <w:t xml:space="preserve">застосовані судом першої інстанції заходи забезпечення позову були </w:t>
      </w:r>
      <w:proofErr w:type="spellStart"/>
      <w:r w:rsidRPr="0042294B">
        <w:rPr>
          <w:rFonts w:ascii="Times New Roman" w:hAnsi="Times New Roman"/>
          <w:color w:val="000000" w:themeColor="text1"/>
          <w:sz w:val="28"/>
          <w:szCs w:val="28"/>
        </w:rPr>
        <w:t>неспівмірними</w:t>
      </w:r>
      <w:proofErr w:type="spellEnd"/>
      <w:r w:rsidRPr="0042294B">
        <w:rPr>
          <w:rFonts w:ascii="Times New Roman" w:hAnsi="Times New Roman"/>
          <w:color w:val="000000" w:themeColor="text1"/>
          <w:sz w:val="28"/>
          <w:szCs w:val="28"/>
        </w:rPr>
        <w:t xml:space="preserve"> і </w:t>
      </w:r>
      <w:proofErr w:type="spellStart"/>
      <w:r w:rsidRPr="0042294B">
        <w:rPr>
          <w:rFonts w:ascii="Times New Roman" w:hAnsi="Times New Roman"/>
          <w:color w:val="000000" w:themeColor="text1"/>
          <w:sz w:val="28"/>
          <w:szCs w:val="28"/>
        </w:rPr>
        <w:t>неспіввідносними</w:t>
      </w:r>
      <w:proofErr w:type="spellEnd"/>
      <w:r w:rsidRPr="0042294B">
        <w:rPr>
          <w:rFonts w:ascii="Times New Roman" w:hAnsi="Times New Roman"/>
          <w:color w:val="000000" w:themeColor="text1"/>
          <w:sz w:val="28"/>
          <w:szCs w:val="28"/>
        </w:rPr>
        <w:t xml:space="preserve"> із позовними вимогами. </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 xml:space="preserve">Статтею 6 Конвенції </w:t>
      </w:r>
      <w:r w:rsidRPr="0042294B">
        <w:rPr>
          <w:color w:val="000000" w:themeColor="text1"/>
          <w:sz w:val="28"/>
          <w:szCs w:val="28"/>
          <w:shd w:val="clear" w:color="auto" w:fill="FFFFFF"/>
        </w:rPr>
        <w:t xml:space="preserve">про захист прав людини і основоположних свобод </w:t>
      </w:r>
      <w:r w:rsidRPr="0042294B">
        <w:rPr>
          <w:color w:val="000000" w:themeColor="text1"/>
          <w:sz w:val="28"/>
          <w:szCs w:val="28"/>
        </w:rPr>
        <w:t>закріплено право особи на справедливий суд.</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У пункті 3 Висновку № 11 (2008) Консультативної ради європейських суддів до уваги Комітету Міністрів Ради Європи щодо якості судових рішень зазначено, що чітке обґрунтування та аналіз є базовими вимогами до судових рішень та важливим аспектом права на справедливий суд.</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Відповідно до усталеної практики Європейського суду з прав людини (рішення у справах «</w:t>
      </w:r>
      <w:proofErr w:type="spellStart"/>
      <w:r w:rsidRPr="0042294B">
        <w:rPr>
          <w:color w:val="000000" w:themeColor="text1"/>
          <w:sz w:val="28"/>
          <w:szCs w:val="28"/>
        </w:rPr>
        <w:t>Серявін</w:t>
      </w:r>
      <w:proofErr w:type="spellEnd"/>
      <w:r w:rsidRPr="0042294B">
        <w:rPr>
          <w:color w:val="000000" w:themeColor="text1"/>
          <w:sz w:val="28"/>
          <w:szCs w:val="28"/>
        </w:rPr>
        <w:t xml:space="preserve"> та інші проти України», «</w:t>
      </w:r>
      <w:proofErr w:type="spellStart"/>
      <w:r w:rsidRPr="0042294B">
        <w:rPr>
          <w:color w:val="000000" w:themeColor="text1"/>
          <w:sz w:val="28"/>
          <w:szCs w:val="28"/>
        </w:rPr>
        <w:t>Бендерський</w:t>
      </w:r>
      <w:proofErr w:type="spellEnd"/>
      <w:r w:rsidRPr="0042294B">
        <w:rPr>
          <w:color w:val="000000" w:themeColor="text1"/>
          <w:sz w:val="28"/>
          <w:szCs w:val="28"/>
        </w:rPr>
        <w:t xml:space="preserve"> проти України», «</w:t>
      </w:r>
      <w:proofErr w:type="spellStart"/>
      <w:r w:rsidRPr="0042294B">
        <w:rPr>
          <w:color w:val="000000" w:themeColor="text1"/>
          <w:sz w:val="28"/>
          <w:szCs w:val="28"/>
        </w:rPr>
        <w:t>Сокуренко</w:t>
      </w:r>
      <w:proofErr w:type="spellEnd"/>
      <w:r w:rsidRPr="0042294B">
        <w:rPr>
          <w:color w:val="000000" w:themeColor="text1"/>
          <w:sz w:val="28"/>
          <w:szCs w:val="28"/>
        </w:rPr>
        <w:t xml:space="preserve"> і Стригун проти України») закріплене у статті</w:t>
      </w:r>
      <w:r w:rsidR="00A44D93" w:rsidRPr="0042294B">
        <w:rPr>
          <w:color w:val="000000" w:themeColor="text1"/>
          <w:sz w:val="28"/>
          <w:szCs w:val="28"/>
        </w:rPr>
        <w:t> </w:t>
      </w:r>
      <w:r w:rsidRPr="0042294B">
        <w:rPr>
          <w:color w:val="000000" w:themeColor="text1"/>
          <w:sz w:val="28"/>
          <w:szCs w:val="28"/>
        </w:rPr>
        <w:t>6 Конвенції право особи на справедливий судовий розгляд забезпечується, зокрема, і через право на мотивоване судове рішення, справедливість судового рішення вимагає, аби таке рішення достатньою мірою висвітлювало мотиви, на яких воно ґрунтується.</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Статтею 260 ЦПК України встановлено вимоги до змісту ухвали суду, що викладається окремим документом, згідно з якими така ухвала має містити мотивувальну частину із зазначенням мотивів, з яких суд дійшов висновків, і закону, яким керувався суд, постановляючи ухвалу.</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Частиною п’ятою статті 153 ЦПК України передбачено, що про вжиття заходів забезпечення позову суд постановляє ухвалу, в якій зазначає вид забезпечення позову і підстави його обрання, порядок виконання, розмір застави, якщо така призначена.</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 xml:space="preserve">Відповідно до пункту 7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ухвала про забезпечення позову має включати мотивувальну частину, де поряд із зазначенням мотивів, із яких суд (суддя) дійшов висновку про обґрунтованість припущення про те, що невжиття заходів забезпечення може в майбутньому утруднити чи зробити неможливим виконання судового </w:t>
      </w:r>
      <w:r w:rsidRPr="0042294B">
        <w:rPr>
          <w:color w:val="000000" w:themeColor="text1"/>
          <w:sz w:val="28"/>
          <w:szCs w:val="28"/>
        </w:rPr>
        <w:lastRenderedPageBreak/>
        <w:t>рішення, наводиться посилання на закон, яким суд керувався при постановленні ухвали.</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Як свідчить зміст ухвали суду про забезпечення позову та правильно встановила Дисциплінарна палата, у мотивувальній частині ухвали не зазначено, із чого саме виходив суд першої інстанції, задовольняючи клопотання про забезпечення позову у частині передачі спірного майна на зберігання ПП «Спрут», та не наведено мотивів прийняття аргументів позивача щодо вказаного питання.</w:t>
      </w:r>
    </w:p>
    <w:p w:rsidR="0003033E" w:rsidRPr="0042294B" w:rsidRDefault="00B826B7" w:rsidP="0003033E">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Крім цього, в ухвалі не зазначено, чим керувався суд, визначаючи співмірність застосованого ним виду забезпечення позову, зокрема в частині передачі майна на зберігання, заявленим позовним вимогам, не вказано, яким чином суд пересвідчився, що між сторонами дійсно існує спір, та не надано оцінки доводам заявника щодо забезпечення позову з урахуванням розумності, обґрунтованості та адекватності таких вимог.</w:t>
      </w:r>
    </w:p>
    <w:p w:rsidR="00B26883" w:rsidRPr="0042294B" w:rsidRDefault="00A44D93" w:rsidP="00B26883">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З</w:t>
      </w:r>
      <w:r w:rsidR="00B26883" w:rsidRPr="0042294B">
        <w:rPr>
          <w:color w:val="000000" w:themeColor="text1"/>
          <w:sz w:val="28"/>
          <w:szCs w:val="28"/>
        </w:rPr>
        <w:t xml:space="preserve"> огляду на чіткі вимоги процесуального закону щодо наведення у судовому рішенні мотивів його прийняття</w:t>
      </w:r>
      <w:r w:rsidRPr="0042294B">
        <w:rPr>
          <w:color w:val="000000" w:themeColor="text1"/>
          <w:sz w:val="28"/>
          <w:szCs w:val="28"/>
        </w:rPr>
        <w:t xml:space="preserve"> зазначені порушення</w:t>
      </w:r>
      <w:r w:rsidR="00B26883" w:rsidRPr="0042294B">
        <w:rPr>
          <w:color w:val="000000" w:themeColor="text1"/>
          <w:sz w:val="28"/>
          <w:szCs w:val="28"/>
        </w:rPr>
        <w:t xml:space="preserve"> є очевидними та не мають характеру суддівської помилки, а пов`язані із неналежним ставленням судді до своїх обов</w:t>
      </w:r>
      <w:r w:rsidRPr="0042294B">
        <w:rPr>
          <w:color w:val="000000" w:themeColor="text1"/>
          <w:sz w:val="28"/>
          <w:szCs w:val="28"/>
        </w:rPr>
        <w:t>’</w:t>
      </w:r>
      <w:r w:rsidR="00B26883" w:rsidRPr="0042294B">
        <w:rPr>
          <w:color w:val="000000" w:themeColor="text1"/>
          <w:sz w:val="28"/>
          <w:szCs w:val="28"/>
        </w:rPr>
        <w:t>язків.</w:t>
      </w:r>
    </w:p>
    <w:p w:rsidR="00B826B7" w:rsidRPr="0042294B" w:rsidRDefault="00B826B7" w:rsidP="00B826B7">
      <w:pPr>
        <w:pStyle w:val="a7"/>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Доводи, викладені у скаргах судді та його представника, про неврахування Дисциплінарною палатою пояснень судді щодо обставин, які бралися ним до уваги при вирішенні питання про забезпечення позову, не спростовують висновку Дисциплінарної палати про відсутність відповідних мотивів в ухвалі про вжиття заходів забезпечення позову.</w:t>
      </w:r>
    </w:p>
    <w:p w:rsidR="00B826B7" w:rsidRPr="0042294B" w:rsidRDefault="00B826B7" w:rsidP="00B826B7">
      <w:pPr>
        <w:spacing w:after="0" w:line="240" w:lineRule="auto"/>
        <w:ind w:firstLine="709"/>
        <w:jc w:val="both"/>
        <w:rPr>
          <w:color w:val="000000" w:themeColor="text1"/>
          <w:sz w:val="28"/>
          <w:szCs w:val="28"/>
        </w:rPr>
      </w:pPr>
      <w:r w:rsidRPr="0042294B">
        <w:rPr>
          <w:rFonts w:ascii="Times New Roman" w:hAnsi="Times New Roman"/>
          <w:color w:val="000000" w:themeColor="text1"/>
          <w:sz w:val="28"/>
          <w:szCs w:val="28"/>
        </w:rPr>
        <w:t xml:space="preserve">За таких обставин, взявши до уваги неналежність та непропорційність застосованих заходів забезпечення позову, </w:t>
      </w:r>
      <w:proofErr w:type="spellStart"/>
      <w:r w:rsidRPr="0042294B">
        <w:rPr>
          <w:rFonts w:ascii="Times New Roman" w:hAnsi="Times New Roman"/>
          <w:color w:val="000000" w:themeColor="text1"/>
          <w:sz w:val="28"/>
          <w:szCs w:val="28"/>
        </w:rPr>
        <w:t>незазначення</w:t>
      </w:r>
      <w:proofErr w:type="spellEnd"/>
      <w:r w:rsidRPr="0042294B">
        <w:rPr>
          <w:rFonts w:ascii="Times New Roman" w:hAnsi="Times New Roman"/>
          <w:color w:val="000000" w:themeColor="text1"/>
          <w:sz w:val="28"/>
          <w:szCs w:val="28"/>
        </w:rPr>
        <w:t xml:space="preserve"> належних, співвідносних з положеннями закону мотивів, з яких виходив суд, задовольняючи клопотання про забезпечення позову у частині передачі спірного майна на зберігання, Дисциплінарна палата дійшла правильного висновку про те, що дії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призвели до порушення основоположних прав людини – права власності в розумінні статті 1 Першого протоколу до Конвенції </w:t>
      </w:r>
      <w:r w:rsidRPr="0042294B">
        <w:rPr>
          <w:rFonts w:ascii="Times New Roman" w:hAnsi="Times New Roman"/>
          <w:color w:val="000000" w:themeColor="text1"/>
          <w:sz w:val="28"/>
          <w:szCs w:val="28"/>
          <w:shd w:val="clear" w:color="auto" w:fill="FFFFFF"/>
        </w:rPr>
        <w:t xml:space="preserve">про захист прав людини і основоположних свобод </w:t>
      </w:r>
      <w:r w:rsidRPr="0042294B">
        <w:rPr>
          <w:rFonts w:ascii="Times New Roman" w:hAnsi="Times New Roman"/>
          <w:color w:val="000000" w:themeColor="text1"/>
          <w:sz w:val="28"/>
          <w:szCs w:val="28"/>
        </w:rPr>
        <w:t>і права на справедливий суд та утворюють дисциплінарні проступки, передбачені підпунктом «б» пункту 1 (</w:t>
      </w:r>
      <w:proofErr w:type="spellStart"/>
      <w:r w:rsidRPr="0042294B">
        <w:rPr>
          <w:rFonts w:ascii="Times New Roman" w:hAnsi="Times New Roman"/>
          <w:color w:val="000000" w:themeColor="text1"/>
          <w:sz w:val="28"/>
          <w:szCs w:val="28"/>
        </w:rPr>
        <w:t>незазначення</w:t>
      </w:r>
      <w:proofErr w:type="spellEnd"/>
      <w:r w:rsidRPr="0042294B">
        <w:rPr>
          <w:rFonts w:ascii="Times New Roman" w:hAnsi="Times New Roman"/>
          <w:color w:val="000000" w:themeColor="text1"/>
          <w:sz w:val="28"/>
          <w:szCs w:val="28"/>
        </w:rPr>
        <w:t xml:space="preserve"> в судовому рішенні мотивів прийняття або відхилення аргументів сторін щодо суті спору) та пунктом 4 частини першої (допущення суддею, який брав участь в ухваленні судового рішення, порушення прав людини і основоположних свобод)</w:t>
      </w:r>
      <w:r w:rsidR="00A44D93" w:rsidRPr="0042294B">
        <w:rPr>
          <w:rFonts w:ascii="Times New Roman" w:hAnsi="Times New Roman"/>
          <w:color w:val="000000" w:themeColor="text1"/>
          <w:sz w:val="28"/>
          <w:szCs w:val="28"/>
        </w:rPr>
        <w:t xml:space="preserve"> статті 106 Закону України «Про судоустрій і статус суддів».</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Вища рада правосуддя вважає необґрунтованим висновок Дисциплінарної палати про вчинення суддею </w:t>
      </w:r>
      <w:proofErr w:type="spellStart"/>
      <w:r w:rsidRPr="0042294B">
        <w:rPr>
          <w:rFonts w:ascii="Times New Roman" w:hAnsi="Times New Roman"/>
          <w:color w:val="000000" w:themeColor="text1"/>
          <w:sz w:val="28"/>
          <w:szCs w:val="28"/>
        </w:rPr>
        <w:t>Горяєвим</w:t>
      </w:r>
      <w:proofErr w:type="spellEnd"/>
      <w:r w:rsidRPr="0042294B">
        <w:rPr>
          <w:rFonts w:ascii="Times New Roman" w:hAnsi="Times New Roman"/>
          <w:color w:val="000000" w:themeColor="text1"/>
          <w:sz w:val="28"/>
          <w:szCs w:val="28"/>
        </w:rPr>
        <w:t xml:space="preserve"> І.М. дисциплінарного проступку, передбаченого підпунктом «г» (умисне порушення засади змагальності сторін) пункту 1 частини першої статті 106 Закону України «Про судоустрій і статус суддів»</w:t>
      </w:r>
      <w:r w:rsidR="00A44D93"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 xml:space="preserve"> з таких підстав. </w:t>
      </w:r>
    </w:p>
    <w:p w:rsidR="00B26883" w:rsidRPr="0042294B" w:rsidRDefault="00B26883" w:rsidP="00B26883">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Вказаний висновок Дисциплінарної палати ґрунтується на тому, що суддя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задовольнив клопотання позивача про відстрочення сплати судового збору у вказаній справі, не надав правової оцінки відсутності у заяві </w:t>
      </w:r>
      <w:r w:rsidRPr="0042294B">
        <w:rPr>
          <w:rFonts w:ascii="Times New Roman" w:hAnsi="Times New Roman"/>
          <w:color w:val="000000" w:themeColor="text1"/>
          <w:sz w:val="28"/>
          <w:szCs w:val="28"/>
        </w:rPr>
        <w:lastRenderedPageBreak/>
        <w:t>про забезпечення позову пропозицій щодо зустрічного забезпечення, водночас відмовив у задоволенні заяви відповідача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про зустрічне забезпечення позову, пославшись на її передчасність, що вказує на явно неоднакове ставлення судді до сторін у справі.</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Згідно із частиною першою статті 154 ЦПК України </w:t>
      </w:r>
      <w:bookmarkStart w:id="6" w:name="n7155"/>
      <w:bookmarkEnd w:id="6"/>
      <w:r w:rsidRPr="0042294B">
        <w:rPr>
          <w:rFonts w:ascii="Times New Roman" w:hAnsi="Times New Roman"/>
          <w:color w:val="000000" w:themeColor="text1"/>
          <w:sz w:val="28"/>
          <w:szCs w:val="28"/>
        </w:rPr>
        <w:t>суд може вимагати від особи, яка звернулася із заявою про забезпечення позову, забезпечити відшкодування збитків відповідача, які можуть бути спричинені забезпеченням позову (зустрічне забезпечення).</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bookmarkStart w:id="7" w:name="n7156"/>
      <w:bookmarkStart w:id="8" w:name="n7157"/>
      <w:bookmarkEnd w:id="7"/>
      <w:bookmarkEnd w:id="8"/>
      <w:r w:rsidRPr="0042294B">
        <w:rPr>
          <w:rFonts w:ascii="Times New Roman" w:hAnsi="Times New Roman"/>
          <w:color w:val="000000" w:themeColor="text1"/>
          <w:sz w:val="28"/>
          <w:szCs w:val="28"/>
        </w:rPr>
        <w:t>Частиною третьою статті 154 ЦПК України передбачено, що суд зобов’язаний застосовувати зустрічне забезпечення, зокрема якщо</w:t>
      </w:r>
      <w:bookmarkStart w:id="9" w:name="n7158"/>
      <w:bookmarkStart w:id="10" w:name="n7159"/>
      <w:bookmarkEnd w:id="9"/>
      <w:bookmarkEnd w:id="10"/>
      <w:r w:rsidRPr="0042294B">
        <w:rPr>
          <w:rFonts w:ascii="Times New Roman" w:hAnsi="Times New Roman"/>
          <w:color w:val="000000" w:themeColor="text1"/>
          <w:sz w:val="28"/>
          <w:szCs w:val="28"/>
        </w:rPr>
        <w:t xml:space="preserve"> суду надані докази того, що майновий стан позивача або його дії щодо відчуження майна чи інші дії можуть ускладнити або зробити неможливим виконання рішення суду про відшкодування збитків відповідача, які можуть бути спричинені забезпеченням позову, у випадку відмови у позові.</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Як передбачено частиною п’ятою вказаної статті, розмір зустрічного забезпечення визначається судом з урахуванням обставин справи. Заходи зустрічного забезпечення позову мають бути </w:t>
      </w:r>
      <w:proofErr w:type="spellStart"/>
      <w:r w:rsidRPr="0042294B">
        <w:rPr>
          <w:rFonts w:ascii="Times New Roman" w:hAnsi="Times New Roman"/>
          <w:color w:val="000000" w:themeColor="text1"/>
          <w:sz w:val="28"/>
          <w:szCs w:val="28"/>
        </w:rPr>
        <w:t>співмірними</w:t>
      </w:r>
      <w:proofErr w:type="spellEnd"/>
      <w:r w:rsidRPr="0042294B">
        <w:rPr>
          <w:rFonts w:ascii="Times New Roman" w:hAnsi="Times New Roman"/>
          <w:color w:val="000000" w:themeColor="text1"/>
          <w:sz w:val="28"/>
          <w:szCs w:val="28"/>
        </w:rPr>
        <w:t xml:space="preserve"> із заходами забезпечення позову, застосованими судом, та розміром збитків, яких може зазнати відповідач у зв’язку із забезпеченням позову.</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 змістом наведених норм процесуального законодавства однією з підстав застосування зустрічного забезпечення (в тому числі </w:t>
      </w:r>
      <w:r w:rsidR="00A44D93" w:rsidRPr="0042294B">
        <w:rPr>
          <w:rFonts w:ascii="Times New Roman" w:hAnsi="Times New Roman"/>
          <w:color w:val="000000" w:themeColor="text1"/>
          <w:sz w:val="28"/>
          <w:szCs w:val="28"/>
        </w:rPr>
        <w:t>в</w:t>
      </w:r>
      <w:r w:rsidRPr="0042294B">
        <w:rPr>
          <w:rFonts w:ascii="Times New Roman" w:hAnsi="Times New Roman"/>
          <w:color w:val="000000" w:themeColor="text1"/>
          <w:sz w:val="28"/>
          <w:szCs w:val="28"/>
        </w:rPr>
        <w:t xml:space="preserve"> обов’язковому порядку) є можливість спричинення збитків вжитими заходами забезпечення позову. </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Таким чином, на відповідача покладається обов’язок довести суду необхідність вжиття заходів зустрічного забезпечення, тобто наявність обставин, з якими пов’язується можливість настання збитків, причинно-наслідковий зв’язок між такими збитками та забезпеченням позову, а також довести їх можливий розмір.</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Залишаючи без задоволення клопотання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про зустрічне забезпечення, суд виходив із такого: 1) обставини, передбачені частиною третьою статті 154 ЦПК України, які б зобов’язували суд застосувати зустрічне забезпечення, відповідачем не доведено, а судом не встановлено; 2) відповідачем оскаржено в апеляційному порядку ухвалу суду про забезпечення позову, а тому клопотання про зустрічне забезпечення є передчасним.</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Матеріали дисциплінарної справи свідчать, що Дисциплінарною палатою </w:t>
      </w:r>
      <w:r w:rsidR="00A44D93" w:rsidRPr="0042294B">
        <w:rPr>
          <w:rFonts w:ascii="Times New Roman" w:hAnsi="Times New Roman"/>
          <w:color w:val="000000" w:themeColor="text1"/>
          <w:sz w:val="28"/>
          <w:szCs w:val="28"/>
        </w:rPr>
        <w:t>під час</w:t>
      </w:r>
      <w:r w:rsidRPr="0042294B">
        <w:rPr>
          <w:rFonts w:ascii="Times New Roman" w:hAnsi="Times New Roman"/>
          <w:color w:val="000000" w:themeColor="text1"/>
          <w:sz w:val="28"/>
          <w:szCs w:val="28"/>
        </w:rPr>
        <w:t xml:space="preserve"> кваліфікації дій судді за підпунктом «г» пункту 1 частини першої статті 106 Закону України «Про судоустрій і статус суддів» не досліджувалось подане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клопотання про зустрічне забезпечення та не надавалася оцінка діям судді під час розгляду підстав, якими заявник обґрунтовував необхідність застосування зустрічного забезпечення, зокрема щодо завдання можливих збитків відповідачеві</w:t>
      </w:r>
      <w:r w:rsidR="00D17F3D" w:rsidRPr="0042294B">
        <w:rPr>
          <w:rFonts w:ascii="Times New Roman" w:hAnsi="Times New Roman"/>
          <w:color w:val="000000" w:themeColor="text1"/>
          <w:sz w:val="28"/>
          <w:szCs w:val="28"/>
        </w:rPr>
        <w:t xml:space="preserve"> та орендарю спірного майна</w:t>
      </w:r>
      <w:r w:rsidR="00B53F69" w:rsidRPr="0042294B">
        <w:rPr>
          <w:rFonts w:ascii="Times New Roman" w:hAnsi="Times New Roman"/>
          <w:color w:val="000000" w:themeColor="text1"/>
          <w:sz w:val="28"/>
          <w:szCs w:val="28"/>
        </w:rPr>
        <w:t xml:space="preserve">, а </w:t>
      </w:r>
      <w:r w:rsidR="00EB0017" w:rsidRPr="0042294B">
        <w:rPr>
          <w:rFonts w:ascii="Times New Roman" w:hAnsi="Times New Roman"/>
          <w:color w:val="000000" w:themeColor="text1"/>
          <w:sz w:val="28"/>
          <w:szCs w:val="28"/>
        </w:rPr>
        <w:t xml:space="preserve">в </w:t>
      </w:r>
      <w:r w:rsidR="00B53F69" w:rsidRPr="0042294B">
        <w:rPr>
          <w:rFonts w:ascii="Times New Roman" w:hAnsi="Times New Roman"/>
          <w:color w:val="000000" w:themeColor="text1"/>
          <w:sz w:val="28"/>
          <w:szCs w:val="28"/>
        </w:rPr>
        <w:t>оскаржуван</w:t>
      </w:r>
      <w:r w:rsidR="00EB0017" w:rsidRPr="0042294B">
        <w:rPr>
          <w:rFonts w:ascii="Times New Roman" w:hAnsi="Times New Roman"/>
          <w:color w:val="000000" w:themeColor="text1"/>
          <w:sz w:val="28"/>
          <w:szCs w:val="28"/>
        </w:rPr>
        <w:t>ому</w:t>
      </w:r>
      <w:r w:rsidR="00B53F69" w:rsidRPr="0042294B">
        <w:rPr>
          <w:rFonts w:ascii="Times New Roman" w:hAnsi="Times New Roman"/>
          <w:color w:val="000000" w:themeColor="text1"/>
          <w:sz w:val="28"/>
          <w:szCs w:val="28"/>
        </w:rPr>
        <w:t xml:space="preserve"> рішенн</w:t>
      </w:r>
      <w:r w:rsidR="00EB0017" w:rsidRPr="0042294B">
        <w:rPr>
          <w:rFonts w:ascii="Times New Roman" w:hAnsi="Times New Roman"/>
          <w:color w:val="000000" w:themeColor="text1"/>
          <w:sz w:val="28"/>
          <w:szCs w:val="28"/>
        </w:rPr>
        <w:t>і</w:t>
      </w:r>
      <w:r w:rsidR="00B53F69" w:rsidRPr="0042294B">
        <w:rPr>
          <w:rFonts w:ascii="Times New Roman" w:hAnsi="Times New Roman"/>
          <w:color w:val="000000" w:themeColor="text1"/>
          <w:sz w:val="28"/>
          <w:szCs w:val="28"/>
        </w:rPr>
        <w:t xml:space="preserve"> Дисциплінарно</w:t>
      </w:r>
      <w:r w:rsidR="00EB0017" w:rsidRPr="0042294B">
        <w:rPr>
          <w:rFonts w:ascii="Times New Roman" w:hAnsi="Times New Roman"/>
          <w:color w:val="000000" w:themeColor="text1"/>
          <w:sz w:val="28"/>
          <w:szCs w:val="28"/>
        </w:rPr>
        <w:t>ї</w:t>
      </w:r>
      <w:r w:rsidR="00B53F69" w:rsidRPr="0042294B">
        <w:rPr>
          <w:rFonts w:ascii="Times New Roman" w:hAnsi="Times New Roman"/>
          <w:color w:val="000000" w:themeColor="text1"/>
          <w:sz w:val="28"/>
          <w:szCs w:val="28"/>
        </w:rPr>
        <w:t xml:space="preserve"> палати неповно відображ</w:t>
      </w:r>
      <w:r w:rsidR="00EB0017" w:rsidRPr="0042294B">
        <w:rPr>
          <w:rFonts w:ascii="Times New Roman" w:hAnsi="Times New Roman"/>
          <w:color w:val="000000" w:themeColor="text1"/>
          <w:sz w:val="28"/>
          <w:szCs w:val="28"/>
        </w:rPr>
        <w:t>ені</w:t>
      </w:r>
      <w:r w:rsidR="00B53F69" w:rsidRPr="0042294B">
        <w:rPr>
          <w:rFonts w:ascii="Times New Roman" w:hAnsi="Times New Roman"/>
          <w:color w:val="000000" w:themeColor="text1"/>
          <w:sz w:val="28"/>
          <w:szCs w:val="28"/>
        </w:rPr>
        <w:t xml:space="preserve"> </w:t>
      </w:r>
      <w:r w:rsidR="00EB0017" w:rsidRPr="0042294B">
        <w:rPr>
          <w:rFonts w:ascii="Times New Roman" w:hAnsi="Times New Roman"/>
          <w:color w:val="000000" w:themeColor="text1"/>
          <w:sz w:val="28"/>
          <w:szCs w:val="28"/>
        </w:rPr>
        <w:t xml:space="preserve">та враховані </w:t>
      </w:r>
      <w:r w:rsidR="00B53F69" w:rsidRPr="0042294B">
        <w:rPr>
          <w:rFonts w:ascii="Times New Roman" w:hAnsi="Times New Roman"/>
          <w:color w:val="000000" w:themeColor="text1"/>
          <w:sz w:val="28"/>
          <w:szCs w:val="28"/>
        </w:rPr>
        <w:t>мотиви, з яких виходив суд</w:t>
      </w:r>
      <w:r w:rsidR="00EB0017" w:rsidRPr="0042294B">
        <w:rPr>
          <w:rFonts w:ascii="Times New Roman" w:hAnsi="Times New Roman"/>
          <w:color w:val="000000" w:themeColor="text1"/>
          <w:sz w:val="28"/>
          <w:szCs w:val="28"/>
        </w:rPr>
        <w:t>, відмовляючи у застосуванні зустрічного забезпечення.</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Style w:val="rvts9"/>
          <w:rFonts w:ascii="Times New Roman" w:hAnsi="Times New Roman"/>
          <w:bCs/>
          <w:color w:val="000000" w:themeColor="text1"/>
          <w:sz w:val="28"/>
          <w:szCs w:val="28"/>
        </w:rPr>
        <w:lastRenderedPageBreak/>
        <w:t>Як передбачено с</w:t>
      </w:r>
      <w:r w:rsidRPr="0042294B">
        <w:rPr>
          <w:rFonts w:ascii="Times New Roman" w:hAnsi="Times New Roman"/>
          <w:color w:val="000000" w:themeColor="text1"/>
          <w:sz w:val="28"/>
          <w:szCs w:val="28"/>
        </w:rPr>
        <w:t xml:space="preserve">таттею </w:t>
      </w:r>
      <w:r w:rsidRPr="0042294B">
        <w:rPr>
          <w:rStyle w:val="rvts9"/>
          <w:rFonts w:ascii="Times New Roman" w:hAnsi="Times New Roman"/>
          <w:bCs/>
          <w:color w:val="000000" w:themeColor="text1"/>
          <w:sz w:val="28"/>
          <w:szCs w:val="28"/>
        </w:rPr>
        <w:t xml:space="preserve">159 ЦПК України, </w:t>
      </w:r>
      <w:r w:rsidRPr="0042294B">
        <w:rPr>
          <w:rFonts w:ascii="Times New Roman" w:hAnsi="Times New Roman"/>
          <w:color w:val="000000" w:themeColor="text1"/>
          <w:sz w:val="28"/>
          <w:szCs w:val="28"/>
        </w:rPr>
        <w:t>відповідач або інша особа, чиї права або охоронювані законом інтереси порушені внаслідок вжиття заходів забезпечення позову, має право на відшкодування збитків, заподіяних забезпеченням позову, та подання відповідного позову про їх відшкодування.</w:t>
      </w:r>
    </w:p>
    <w:p w:rsidR="00B26883" w:rsidRPr="0042294B" w:rsidRDefault="00B26883" w:rsidP="00B26883">
      <w:pPr>
        <w:spacing w:after="0" w:line="240" w:lineRule="auto"/>
        <w:ind w:right="23"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Зокрема, рішенням Київського районного суду міста Одеси від 10 жовтня 2019 року у справі № 520/6732/19 відмовлено у задоволенні позову ТОВ «</w:t>
      </w:r>
      <w:proofErr w:type="spellStart"/>
      <w:r w:rsidRPr="0042294B">
        <w:rPr>
          <w:rFonts w:ascii="Times New Roman" w:hAnsi="Times New Roman"/>
          <w:color w:val="000000" w:themeColor="text1"/>
          <w:sz w:val="28"/>
          <w:szCs w:val="28"/>
        </w:rPr>
        <w:t>Парадайс</w:t>
      </w:r>
      <w:proofErr w:type="spellEnd"/>
      <w:r w:rsidRPr="0042294B">
        <w:rPr>
          <w:rFonts w:ascii="Times New Roman" w:hAnsi="Times New Roman"/>
          <w:color w:val="000000" w:themeColor="text1"/>
          <w:sz w:val="28"/>
          <w:szCs w:val="28"/>
        </w:rPr>
        <w:t xml:space="preserve"> </w:t>
      </w:r>
      <w:proofErr w:type="spellStart"/>
      <w:r w:rsidRPr="0042294B">
        <w:rPr>
          <w:rFonts w:ascii="Times New Roman" w:hAnsi="Times New Roman"/>
          <w:color w:val="000000" w:themeColor="text1"/>
          <w:sz w:val="28"/>
          <w:szCs w:val="28"/>
        </w:rPr>
        <w:t>Релакс</w:t>
      </w:r>
      <w:proofErr w:type="spellEnd"/>
      <w:r w:rsidRPr="0042294B">
        <w:rPr>
          <w:rFonts w:ascii="Times New Roman" w:hAnsi="Times New Roman"/>
          <w:color w:val="000000" w:themeColor="text1"/>
          <w:sz w:val="28"/>
          <w:szCs w:val="28"/>
        </w:rPr>
        <w:t xml:space="preserve">» (орендар спірного нерухомого майна) до </w:t>
      </w:r>
      <w:r w:rsidR="00045871" w:rsidRPr="0042294B">
        <w:rPr>
          <w:rFonts w:ascii="Times New Roman" w:hAnsi="Times New Roman"/>
          <w:color w:val="000000" w:themeColor="text1"/>
          <w:sz w:val="28"/>
          <w:szCs w:val="28"/>
        </w:rPr>
        <w:t>ОСОБА_1</w:t>
      </w:r>
      <w:r w:rsidRPr="0042294B">
        <w:rPr>
          <w:rFonts w:ascii="Times New Roman" w:hAnsi="Times New Roman"/>
          <w:color w:val="000000" w:themeColor="text1"/>
          <w:sz w:val="28"/>
          <w:szCs w:val="28"/>
        </w:rPr>
        <w:t>, треті особи: ТОВ «</w:t>
      </w:r>
      <w:proofErr w:type="spellStart"/>
      <w:r w:rsidRPr="0042294B">
        <w:rPr>
          <w:rFonts w:ascii="Times New Roman" w:hAnsi="Times New Roman"/>
          <w:color w:val="000000" w:themeColor="text1"/>
          <w:sz w:val="28"/>
          <w:szCs w:val="28"/>
        </w:rPr>
        <w:t>Сауспальм</w:t>
      </w:r>
      <w:proofErr w:type="spellEnd"/>
      <w:r w:rsidRPr="0042294B">
        <w:rPr>
          <w:rFonts w:ascii="Times New Roman" w:hAnsi="Times New Roman"/>
          <w:color w:val="000000" w:themeColor="text1"/>
          <w:sz w:val="28"/>
          <w:szCs w:val="28"/>
        </w:rPr>
        <w:t>», ПП «Спрут», ТОВ «</w:t>
      </w:r>
      <w:proofErr w:type="spellStart"/>
      <w:r w:rsidRPr="0042294B">
        <w:rPr>
          <w:rFonts w:ascii="Times New Roman" w:hAnsi="Times New Roman"/>
          <w:color w:val="000000" w:themeColor="text1"/>
          <w:sz w:val="28"/>
          <w:szCs w:val="28"/>
        </w:rPr>
        <w:t>Рубікон-ІІ</w:t>
      </w:r>
      <w:proofErr w:type="spellEnd"/>
      <w:r w:rsidRPr="0042294B">
        <w:rPr>
          <w:rFonts w:ascii="Times New Roman" w:hAnsi="Times New Roman"/>
          <w:color w:val="000000" w:themeColor="text1"/>
          <w:sz w:val="28"/>
          <w:szCs w:val="28"/>
        </w:rPr>
        <w:t xml:space="preserve">», про відшкодування збитків, спричинених заходами забезпечення позову. Рішення набрало законної сили та позивачем в апеляційному порядку не </w:t>
      </w:r>
      <w:proofErr w:type="spellStart"/>
      <w:r w:rsidRPr="0042294B">
        <w:rPr>
          <w:rFonts w:ascii="Times New Roman" w:hAnsi="Times New Roman"/>
          <w:color w:val="000000" w:themeColor="text1"/>
          <w:sz w:val="28"/>
          <w:szCs w:val="28"/>
        </w:rPr>
        <w:t>оскаржувалося</w:t>
      </w:r>
      <w:proofErr w:type="spellEnd"/>
      <w:r w:rsidRPr="0042294B">
        <w:rPr>
          <w:rFonts w:ascii="Times New Roman" w:hAnsi="Times New Roman"/>
          <w:color w:val="000000" w:themeColor="text1"/>
          <w:sz w:val="28"/>
          <w:szCs w:val="28"/>
        </w:rPr>
        <w:t xml:space="preserve">. </w:t>
      </w:r>
    </w:p>
    <w:p w:rsidR="0011194C"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 огляду на викладене, беручи до уваги наведені у скаргах доводи, суддя мав обґрунтован</w:t>
      </w:r>
      <w:r w:rsidR="0085558B" w:rsidRPr="0042294B">
        <w:rPr>
          <w:rFonts w:ascii="Times New Roman" w:hAnsi="Times New Roman"/>
          <w:color w:val="000000" w:themeColor="text1"/>
          <w:sz w:val="28"/>
          <w:szCs w:val="28"/>
        </w:rPr>
        <w:t>і</w:t>
      </w:r>
      <w:r w:rsidRPr="0042294B">
        <w:rPr>
          <w:rFonts w:ascii="Times New Roman" w:hAnsi="Times New Roman"/>
          <w:color w:val="000000" w:themeColor="text1"/>
          <w:sz w:val="28"/>
          <w:szCs w:val="28"/>
        </w:rPr>
        <w:t xml:space="preserve"> </w:t>
      </w:r>
      <w:r w:rsidR="0085558B" w:rsidRPr="0042294B">
        <w:rPr>
          <w:rFonts w:ascii="Times New Roman" w:hAnsi="Times New Roman"/>
          <w:color w:val="000000" w:themeColor="text1"/>
          <w:sz w:val="28"/>
          <w:szCs w:val="28"/>
        </w:rPr>
        <w:t xml:space="preserve">підстави </w:t>
      </w:r>
      <w:r w:rsidRPr="0042294B">
        <w:rPr>
          <w:rFonts w:ascii="Times New Roman" w:hAnsi="Times New Roman"/>
          <w:color w:val="000000" w:themeColor="text1"/>
          <w:sz w:val="28"/>
          <w:szCs w:val="28"/>
        </w:rPr>
        <w:t>вважати, що відповідачем не доведен</w:t>
      </w:r>
      <w:r w:rsidR="0085558B" w:rsidRPr="0042294B">
        <w:rPr>
          <w:rFonts w:ascii="Times New Roman" w:hAnsi="Times New Roman"/>
          <w:color w:val="000000" w:themeColor="text1"/>
          <w:sz w:val="28"/>
          <w:szCs w:val="28"/>
        </w:rPr>
        <w:t>а</w:t>
      </w:r>
      <w:r w:rsidRPr="0042294B">
        <w:rPr>
          <w:rFonts w:ascii="Times New Roman" w:hAnsi="Times New Roman"/>
          <w:color w:val="000000" w:themeColor="text1"/>
          <w:sz w:val="28"/>
          <w:szCs w:val="28"/>
        </w:rPr>
        <w:t xml:space="preserve"> наявн</w:t>
      </w:r>
      <w:r w:rsidR="0085558B" w:rsidRPr="0042294B">
        <w:rPr>
          <w:rFonts w:ascii="Times New Roman" w:hAnsi="Times New Roman"/>
          <w:color w:val="000000" w:themeColor="text1"/>
          <w:sz w:val="28"/>
          <w:szCs w:val="28"/>
        </w:rPr>
        <w:t>і</w:t>
      </w:r>
      <w:r w:rsidRPr="0042294B">
        <w:rPr>
          <w:rFonts w:ascii="Times New Roman" w:hAnsi="Times New Roman"/>
          <w:color w:val="000000" w:themeColor="text1"/>
          <w:sz w:val="28"/>
          <w:szCs w:val="28"/>
        </w:rPr>
        <w:t>ст</w:t>
      </w:r>
      <w:r w:rsidR="0085558B" w:rsidRPr="0042294B">
        <w:rPr>
          <w:rFonts w:ascii="Times New Roman" w:hAnsi="Times New Roman"/>
          <w:color w:val="000000" w:themeColor="text1"/>
          <w:sz w:val="28"/>
          <w:szCs w:val="28"/>
        </w:rPr>
        <w:t>ь</w:t>
      </w:r>
      <w:r w:rsidRPr="0042294B">
        <w:rPr>
          <w:rFonts w:ascii="Times New Roman" w:hAnsi="Times New Roman"/>
          <w:color w:val="000000" w:themeColor="text1"/>
          <w:sz w:val="28"/>
          <w:szCs w:val="28"/>
        </w:rPr>
        <w:t xml:space="preserve"> обставин, передбачених частиною третьою статті 154 ЦПК України, які б зобов’язували суд застосувати зустрічне забезпечення. </w:t>
      </w:r>
    </w:p>
    <w:p w:rsidR="00B26883" w:rsidRPr="0042294B" w:rsidRDefault="00B26883" w:rsidP="00B26883">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За таких обставин відсутні підстави кваліфік</w:t>
      </w:r>
      <w:r w:rsidR="0085558B" w:rsidRPr="0042294B">
        <w:rPr>
          <w:rFonts w:ascii="Times New Roman" w:hAnsi="Times New Roman"/>
          <w:color w:val="000000" w:themeColor="text1"/>
          <w:sz w:val="28"/>
          <w:szCs w:val="28"/>
        </w:rPr>
        <w:t>увати</w:t>
      </w:r>
      <w:r w:rsidRPr="0042294B">
        <w:rPr>
          <w:rFonts w:ascii="Times New Roman" w:hAnsi="Times New Roman"/>
          <w:color w:val="000000" w:themeColor="text1"/>
          <w:sz w:val="28"/>
          <w:szCs w:val="28"/>
        </w:rPr>
        <w:t xml:space="preserve"> ді</w:t>
      </w:r>
      <w:r w:rsidR="0085558B" w:rsidRPr="0042294B">
        <w:rPr>
          <w:rFonts w:ascii="Times New Roman" w:hAnsi="Times New Roman"/>
          <w:color w:val="000000" w:themeColor="text1"/>
          <w:sz w:val="28"/>
          <w:szCs w:val="28"/>
        </w:rPr>
        <w:t>ї</w:t>
      </w:r>
      <w:r w:rsidRPr="0042294B">
        <w:rPr>
          <w:rFonts w:ascii="Times New Roman" w:hAnsi="Times New Roman"/>
          <w:color w:val="000000" w:themeColor="text1"/>
          <w:sz w:val="28"/>
          <w:szCs w:val="28"/>
        </w:rPr>
        <w:t xml:space="preserve">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І.М. як дисциплінарн</w:t>
      </w:r>
      <w:r w:rsidR="0085558B" w:rsidRPr="0042294B">
        <w:rPr>
          <w:rFonts w:ascii="Times New Roman" w:hAnsi="Times New Roman"/>
          <w:color w:val="000000" w:themeColor="text1"/>
          <w:sz w:val="28"/>
          <w:szCs w:val="28"/>
        </w:rPr>
        <w:t>ий</w:t>
      </w:r>
      <w:r w:rsidRPr="0042294B">
        <w:rPr>
          <w:rFonts w:ascii="Times New Roman" w:hAnsi="Times New Roman"/>
          <w:color w:val="000000" w:themeColor="text1"/>
          <w:sz w:val="28"/>
          <w:szCs w:val="28"/>
        </w:rPr>
        <w:t xml:space="preserve"> проступ</w:t>
      </w:r>
      <w:r w:rsidR="0085558B" w:rsidRPr="0042294B">
        <w:rPr>
          <w:rFonts w:ascii="Times New Roman" w:hAnsi="Times New Roman"/>
          <w:color w:val="000000" w:themeColor="text1"/>
          <w:sz w:val="28"/>
          <w:szCs w:val="28"/>
        </w:rPr>
        <w:t>о</w:t>
      </w:r>
      <w:r w:rsidRPr="0042294B">
        <w:rPr>
          <w:rFonts w:ascii="Times New Roman" w:hAnsi="Times New Roman"/>
          <w:color w:val="000000" w:themeColor="text1"/>
          <w:sz w:val="28"/>
          <w:szCs w:val="28"/>
        </w:rPr>
        <w:t>к, передбачен</w:t>
      </w:r>
      <w:r w:rsidR="0085558B" w:rsidRPr="0042294B">
        <w:rPr>
          <w:rFonts w:ascii="Times New Roman" w:hAnsi="Times New Roman"/>
          <w:color w:val="000000" w:themeColor="text1"/>
          <w:sz w:val="28"/>
          <w:szCs w:val="28"/>
        </w:rPr>
        <w:t>ий</w:t>
      </w:r>
      <w:r w:rsidRPr="0042294B">
        <w:rPr>
          <w:rFonts w:ascii="Times New Roman" w:hAnsi="Times New Roman"/>
          <w:color w:val="000000" w:themeColor="text1"/>
          <w:sz w:val="28"/>
          <w:szCs w:val="28"/>
        </w:rPr>
        <w:t xml:space="preserve"> підпунктом «г» пункту 1 частини першої статті 106 Закону України «Про судоустрій і статус суддів», а саме як умисне порушення засади змагальності сторін.</w:t>
      </w:r>
    </w:p>
    <w:p w:rsidR="00720E4B" w:rsidRPr="0042294B" w:rsidRDefault="00D81BAF" w:rsidP="00840F8A">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Враховуючи необґрунтованість висновку Дисциплінарної палати про порушення суддею засад змагальності </w:t>
      </w:r>
      <w:r w:rsidR="00FD486F" w:rsidRPr="0042294B">
        <w:rPr>
          <w:rFonts w:ascii="Times New Roman" w:hAnsi="Times New Roman"/>
          <w:color w:val="000000" w:themeColor="text1"/>
          <w:sz w:val="28"/>
          <w:szCs w:val="28"/>
        </w:rPr>
        <w:t xml:space="preserve">сторін </w:t>
      </w:r>
      <w:r w:rsidR="00301C0E" w:rsidRPr="0042294B">
        <w:rPr>
          <w:rFonts w:ascii="Times New Roman" w:hAnsi="Times New Roman"/>
          <w:color w:val="000000" w:themeColor="text1"/>
          <w:sz w:val="28"/>
          <w:szCs w:val="28"/>
        </w:rPr>
        <w:t xml:space="preserve">та </w:t>
      </w:r>
      <w:r w:rsidR="00840F8A" w:rsidRPr="0042294B">
        <w:rPr>
          <w:rFonts w:ascii="Times New Roman" w:hAnsi="Times New Roman"/>
          <w:color w:val="000000" w:themeColor="text1"/>
          <w:sz w:val="28"/>
          <w:szCs w:val="28"/>
        </w:rPr>
        <w:t xml:space="preserve">беручи до уваги, що сама по собі невмотивованість у відповідній частині судового рішення не свідчить про умисність дій судді під час його постановлення, </w:t>
      </w:r>
      <w:r w:rsidR="00720E4B" w:rsidRPr="0042294B">
        <w:rPr>
          <w:rFonts w:ascii="Times New Roman" w:hAnsi="Times New Roman"/>
          <w:color w:val="000000" w:themeColor="text1"/>
          <w:sz w:val="28"/>
          <w:szCs w:val="28"/>
        </w:rPr>
        <w:t xml:space="preserve">Вища рада правосуддя вважає помилковим висновок Дисциплінарної палати про </w:t>
      </w:r>
      <w:r w:rsidR="00301C0E" w:rsidRPr="0042294B">
        <w:rPr>
          <w:rFonts w:ascii="Times New Roman" w:hAnsi="Times New Roman"/>
          <w:color w:val="000000" w:themeColor="text1"/>
          <w:sz w:val="28"/>
          <w:szCs w:val="28"/>
        </w:rPr>
        <w:t xml:space="preserve">те, що </w:t>
      </w:r>
      <w:r w:rsidR="00720E4B" w:rsidRPr="0042294B">
        <w:rPr>
          <w:rFonts w:ascii="Times New Roman" w:hAnsi="Times New Roman"/>
          <w:color w:val="000000" w:themeColor="text1"/>
          <w:sz w:val="28"/>
          <w:szCs w:val="28"/>
        </w:rPr>
        <w:t>судд</w:t>
      </w:r>
      <w:r w:rsidR="00FD486F" w:rsidRPr="0042294B">
        <w:rPr>
          <w:rFonts w:ascii="Times New Roman" w:hAnsi="Times New Roman"/>
          <w:color w:val="000000" w:themeColor="text1"/>
          <w:sz w:val="28"/>
          <w:szCs w:val="28"/>
        </w:rPr>
        <w:t>ею</w:t>
      </w:r>
      <w:r w:rsidR="00720E4B" w:rsidRPr="0042294B">
        <w:rPr>
          <w:rFonts w:ascii="Times New Roman" w:hAnsi="Times New Roman"/>
          <w:color w:val="000000" w:themeColor="text1"/>
          <w:sz w:val="28"/>
          <w:szCs w:val="28"/>
        </w:rPr>
        <w:t xml:space="preserve"> </w:t>
      </w:r>
      <w:proofErr w:type="spellStart"/>
      <w:r w:rsidR="00720E4B" w:rsidRPr="0042294B">
        <w:rPr>
          <w:rFonts w:ascii="Times New Roman" w:hAnsi="Times New Roman"/>
          <w:color w:val="000000" w:themeColor="text1"/>
          <w:sz w:val="28"/>
          <w:szCs w:val="28"/>
        </w:rPr>
        <w:t>Горяєв</w:t>
      </w:r>
      <w:r w:rsidR="00FD486F" w:rsidRPr="0042294B">
        <w:rPr>
          <w:rFonts w:ascii="Times New Roman" w:hAnsi="Times New Roman"/>
          <w:color w:val="000000" w:themeColor="text1"/>
          <w:sz w:val="28"/>
          <w:szCs w:val="28"/>
        </w:rPr>
        <w:t>им</w:t>
      </w:r>
      <w:proofErr w:type="spellEnd"/>
      <w:r w:rsidR="00301C0E" w:rsidRPr="0042294B">
        <w:rPr>
          <w:rFonts w:ascii="Times New Roman" w:hAnsi="Times New Roman"/>
          <w:color w:val="000000" w:themeColor="text1"/>
          <w:sz w:val="28"/>
          <w:szCs w:val="28"/>
        </w:rPr>
        <w:t> </w:t>
      </w:r>
      <w:r w:rsidR="00720E4B" w:rsidRPr="0042294B">
        <w:rPr>
          <w:rFonts w:ascii="Times New Roman" w:hAnsi="Times New Roman"/>
          <w:color w:val="000000" w:themeColor="text1"/>
          <w:sz w:val="28"/>
          <w:szCs w:val="28"/>
        </w:rPr>
        <w:t>І.М.</w:t>
      </w:r>
      <w:r w:rsidR="009A77CD" w:rsidRPr="0042294B">
        <w:rPr>
          <w:rFonts w:ascii="Times New Roman" w:hAnsi="Times New Roman"/>
          <w:color w:val="000000" w:themeColor="text1"/>
          <w:sz w:val="28"/>
          <w:szCs w:val="28"/>
        </w:rPr>
        <w:t xml:space="preserve"> </w:t>
      </w:r>
      <w:r w:rsidR="00FD486F" w:rsidRPr="0042294B">
        <w:rPr>
          <w:rFonts w:ascii="Times New Roman" w:hAnsi="Times New Roman"/>
          <w:color w:val="000000" w:themeColor="text1"/>
          <w:sz w:val="28"/>
          <w:szCs w:val="28"/>
        </w:rPr>
        <w:t>зазначені порушення допущені умисно.</w:t>
      </w:r>
    </w:p>
    <w:p w:rsidR="00720E4B" w:rsidRPr="0042294B" w:rsidRDefault="00720E4B" w:rsidP="00720E4B">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Посилання Дисциплінарної палати на те, що </w:t>
      </w:r>
      <w:r w:rsidR="009E466C" w:rsidRPr="0042294B">
        <w:rPr>
          <w:rFonts w:ascii="Times New Roman" w:hAnsi="Times New Roman"/>
          <w:color w:val="000000" w:themeColor="text1"/>
          <w:sz w:val="28"/>
          <w:szCs w:val="28"/>
        </w:rPr>
        <w:t xml:space="preserve">умисність дій судді підтверджується застосуванням заходів забезпечення позову </w:t>
      </w:r>
      <w:r w:rsidRPr="0042294B">
        <w:rPr>
          <w:rFonts w:ascii="Times New Roman" w:hAnsi="Times New Roman"/>
          <w:color w:val="000000" w:themeColor="text1"/>
          <w:sz w:val="28"/>
          <w:szCs w:val="28"/>
        </w:rPr>
        <w:t>за позовними вимогами, які не підлягали розгляду в порядку цивільного судочинства</w:t>
      </w:r>
      <w:r w:rsidR="00E1123B" w:rsidRPr="0042294B">
        <w:rPr>
          <w:rFonts w:ascii="Times New Roman" w:hAnsi="Times New Roman"/>
          <w:color w:val="000000" w:themeColor="text1"/>
          <w:sz w:val="28"/>
          <w:szCs w:val="28"/>
        </w:rPr>
        <w:t xml:space="preserve">, </w:t>
      </w:r>
      <w:r w:rsidR="00840F8A" w:rsidRPr="0042294B">
        <w:rPr>
          <w:rFonts w:ascii="Times New Roman" w:hAnsi="Times New Roman"/>
          <w:color w:val="000000" w:themeColor="text1"/>
          <w:sz w:val="28"/>
          <w:szCs w:val="28"/>
        </w:rPr>
        <w:t>Вища рада правосуддя вважає помилковими</w:t>
      </w:r>
      <w:r w:rsidR="00E1123B" w:rsidRPr="0042294B">
        <w:rPr>
          <w:rFonts w:ascii="Times New Roman" w:hAnsi="Times New Roman"/>
          <w:color w:val="000000" w:themeColor="text1"/>
          <w:sz w:val="28"/>
          <w:szCs w:val="28"/>
        </w:rPr>
        <w:t>, оскільки</w:t>
      </w:r>
      <w:r w:rsidR="00B76276" w:rsidRPr="0042294B">
        <w:rPr>
          <w:rFonts w:ascii="Times New Roman" w:hAnsi="Times New Roman"/>
          <w:color w:val="000000" w:themeColor="text1"/>
          <w:sz w:val="28"/>
          <w:szCs w:val="28"/>
        </w:rPr>
        <w:t xml:space="preserve"> к</w:t>
      </w:r>
      <w:r w:rsidRPr="0042294B">
        <w:rPr>
          <w:rFonts w:ascii="Times New Roman" w:hAnsi="Times New Roman"/>
          <w:color w:val="000000" w:themeColor="text1"/>
          <w:sz w:val="28"/>
          <w:szCs w:val="28"/>
          <w:shd w:val="clear" w:color="auto" w:fill="FFFFFF"/>
        </w:rPr>
        <w:t>ритеріями р</w:t>
      </w:r>
      <w:r w:rsidR="00B76276" w:rsidRPr="0042294B">
        <w:rPr>
          <w:rFonts w:ascii="Times New Roman" w:hAnsi="Times New Roman"/>
          <w:color w:val="000000" w:themeColor="text1"/>
          <w:sz w:val="28"/>
          <w:szCs w:val="28"/>
          <w:shd w:val="clear" w:color="auto" w:fill="FFFFFF"/>
        </w:rPr>
        <w:t xml:space="preserve">озмежування судової юрисдикції </w:t>
      </w:r>
      <w:r w:rsidRPr="0042294B">
        <w:rPr>
          <w:rFonts w:ascii="Times New Roman" w:hAnsi="Times New Roman"/>
          <w:color w:val="000000" w:themeColor="text1"/>
          <w:sz w:val="28"/>
          <w:szCs w:val="28"/>
          <w:shd w:val="clear" w:color="auto" w:fill="FFFFFF"/>
        </w:rPr>
        <w:t>є суб</w:t>
      </w:r>
      <w:r w:rsidR="0085558B" w:rsidRPr="0042294B">
        <w:rPr>
          <w:rFonts w:ascii="Times New Roman" w:hAnsi="Times New Roman"/>
          <w:color w:val="000000" w:themeColor="text1"/>
          <w:sz w:val="28"/>
          <w:szCs w:val="28"/>
          <w:shd w:val="clear" w:color="auto" w:fill="FFFFFF"/>
        </w:rPr>
        <w:t>’</w:t>
      </w:r>
      <w:r w:rsidRPr="0042294B">
        <w:rPr>
          <w:rFonts w:ascii="Times New Roman" w:hAnsi="Times New Roman"/>
          <w:color w:val="000000" w:themeColor="text1"/>
          <w:sz w:val="28"/>
          <w:szCs w:val="28"/>
          <w:shd w:val="clear" w:color="auto" w:fill="FFFFFF"/>
        </w:rPr>
        <w:t>єктний склад правовідносин, предмет спору та характер спірних матеріальних правовідносин у сукупності. Крім того, таким критерієм може бути пряма вказівка в законі на вид судочинства, в якому розглядається визначена категорія справ.</w:t>
      </w:r>
    </w:p>
    <w:p w:rsidR="00720E4B" w:rsidRPr="0042294B" w:rsidRDefault="009E466C" w:rsidP="00720E4B">
      <w:pPr>
        <w:spacing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w:t>
      </w:r>
      <w:r w:rsidR="00720E4B" w:rsidRPr="0042294B">
        <w:rPr>
          <w:rFonts w:ascii="Times New Roman" w:hAnsi="Times New Roman"/>
          <w:color w:val="000000" w:themeColor="text1"/>
          <w:sz w:val="28"/>
          <w:szCs w:val="28"/>
        </w:rPr>
        <w:t>алишаючи без задоволення апеляційні скарги ТО</w:t>
      </w:r>
      <w:r w:rsidR="00E1123B" w:rsidRPr="0042294B">
        <w:rPr>
          <w:rFonts w:ascii="Times New Roman" w:hAnsi="Times New Roman"/>
          <w:color w:val="000000" w:themeColor="text1"/>
          <w:sz w:val="28"/>
          <w:szCs w:val="28"/>
        </w:rPr>
        <w:t>В «</w:t>
      </w:r>
      <w:proofErr w:type="spellStart"/>
      <w:r w:rsidR="00E1123B" w:rsidRPr="0042294B">
        <w:rPr>
          <w:rFonts w:ascii="Times New Roman" w:hAnsi="Times New Roman"/>
          <w:color w:val="000000" w:themeColor="text1"/>
          <w:sz w:val="28"/>
          <w:szCs w:val="28"/>
        </w:rPr>
        <w:t>Сауспальм</w:t>
      </w:r>
      <w:proofErr w:type="spellEnd"/>
      <w:r w:rsidR="00E1123B" w:rsidRPr="0042294B">
        <w:rPr>
          <w:rFonts w:ascii="Times New Roman" w:hAnsi="Times New Roman"/>
          <w:color w:val="000000" w:themeColor="text1"/>
          <w:sz w:val="28"/>
          <w:szCs w:val="28"/>
        </w:rPr>
        <w:t>» та ТОВ «</w:t>
      </w:r>
      <w:proofErr w:type="spellStart"/>
      <w:r w:rsidR="00E1123B" w:rsidRPr="0042294B">
        <w:rPr>
          <w:rFonts w:ascii="Times New Roman" w:hAnsi="Times New Roman"/>
          <w:color w:val="000000" w:themeColor="text1"/>
          <w:sz w:val="28"/>
          <w:szCs w:val="28"/>
        </w:rPr>
        <w:t>Парадайз</w:t>
      </w:r>
      <w:proofErr w:type="spellEnd"/>
      <w:r w:rsidR="00E1123B" w:rsidRPr="0042294B">
        <w:rPr>
          <w:rFonts w:ascii="Times New Roman" w:hAnsi="Times New Roman"/>
          <w:color w:val="000000" w:themeColor="text1"/>
          <w:sz w:val="28"/>
          <w:szCs w:val="28"/>
        </w:rPr>
        <w:t xml:space="preserve"> </w:t>
      </w:r>
      <w:proofErr w:type="spellStart"/>
      <w:r w:rsidR="00E1123B" w:rsidRPr="0042294B">
        <w:rPr>
          <w:rFonts w:ascii="Times New Roman" w:hAnsi="Times New Roman"/>
          <w:color w:val="000000" w:themeColor="text1"/>
          <w:sz w:val="28"/>
          <w:szCs w:val="28"/>
        </w:rPr>
        <w:t>Р</w:t>
      </w:r>
      <w:r w:rsidR="00720E4B" w:rsidRPr="0042294B">
        <w:rPr>
          <w:rFonts w:ascii="Times New Roman" w:hAnsi="Times New Roman"/>
          <w:color w:val="000000" w:themeColor="text1"/>
          <w:sz w:val="28"/>
          <w:szCs w:val="28"/>
        </w:rPr>
        <w:t>елакс</w:t>
      </w:r>
      <w:proofErr w:type="spellEnd"/>
      <w:r w:rsidR="00720E4B" w:rsidRPr="0042294B">
        <w:rPr>
          <w:rFonts w:ascii="Times New Roman" w:hAnsi="Times New Roman"/>
          <w:color w:val="000000" w:themeColor="text1"/>
          <w:sz w:val="28"/>
          <w:szCs w:val="28"/>
        </w:rPr>
        <w:t xml:space="preserve">» на ухвалу </w:t>
      </w:r>
      <w:proofErr w:type="spellStart"/>
      <w:r w:rsidR="00720E4B" w:rsidRPr="0042294B">
        <w:rPr>
          <w:rFonts w:ascii="Times New Roman" w:hAnsi="Times New Roman"/>
          <w:color w:val="000000" w:themeColor="text1"/>
          <w:sz w:val="28"/>
          <w:szCs w:val="28"/>
        </w:rPr>
        <w:t>Біляївського</w:t>
      </w:r>
      <w:proofErr w:type="spellEnd"/>
      <w:r w:rsidR="00720E4B" w:rsidRPr="0042294B">
        <w:rPr>
          <w:rFonts w:ascii="Times New Roman" w:hAnsi="Times New Roman"/>
          <w:color w:val="000000" w:themeColor="text1"/>
          <w:sz w:val="28"/>
          <w:szCs w:val="28"/>
        </w:rPr>
        <w:t xml:space="preserve"> районного суду Одеської області від 11 червня 2018 року про відкриття провадження у справі, апеляційний суд у постанові від 9 жовтня 2018 року зазначив, що </w:t>
      </w:r>
      <w:r w:rsidR="00FA24C3" w:rsidRPr="0042294B">
        <w:rPr>
          <w:rFonts w:ascii="Times New Roman" w:hAnsi="Times New Roman"/>
          <w:color w:val="000000" w:themeColor="text1"/>
          <w:sz w:val="28"/>
          <w:szCs w:val="28"/>
        </w:rPr>
        <w:t>«</w:t>
      </w:r>
      <w:r w:rsidR="00720E4B" w:rsidRPr="0042294B">
        <w:rPr>
          <w:rStyle w:val="rvts32"/>
          <w:rFonts w:ascii="Times New Roman" w:hAnsi="Times New Roman"/>
          <w:color w:val="000000" w:themeColor="text1"/>
          <w:sz w:val="28"/>
          <w:szCs w:val="28"/>
        </w:rPr>
        <w:t>позивач звернувся за захистом своїх цивільних прав, як фізична особа, а тому посилання на належність спірного майна юридичній особі і про існування між юридичними особами господарського спору не може бути предметом розгляду при вирішенні питання про відкриття провадження у справі, але має враховуватися при розгляді справи по суті заявлених вимог</w:t>
      </w:r>
      <w:r w:rsidR="00FA24C3" w:rsidRPr="0042294B">
        <w:rPr>
          <w:rStyle w:val="rvts32"/>
          <w:rFonts w:ascii="Times New Roman" w:hAnsi="Times New Roman"/>
          <w:color w:val="000000" w:themeColor="text1"/>
          <w:sz w:val="28"/>
          <w:szCs w:val="28"/>
        </w:rPr>
        <w:t>»</w:t>
      </w:r>
      <w:r w:rsidR="00720E4B" w:rsidRPr="0042294B">
        <w:rPr>
          <w:rStyle w:val="rvts32"/>
          <w:rFonts w:ascii="Times New Roman" w:hAnsi="Times New Roman"/>
          <w:color w:val="000000" w:themeColor="text1"/>
          <w:sz w:val="28"/>
          <w:szCs w:val="28"/>
        </w:rPr>
        <w:t>.</w:t>
      </w:r>
    </w:p>
    <w:p w:rsidR="00B64047" w:rsidRPr="0042294B" w:rsidRDefault="00B64047" w:rsidP="002D435F">
      <w:pPr>
        <w:spacing w:after="0" w:line="240" w:lineRule="auto"/>
        <w:ind w:firstLine="709"/>
        <w:contextualSpacing/>
        <w:jc w:val="both"/>
        <w:rPr>
          <w:rFonts w:ascii="Times New Roman" w:eastAsia="Times New Roman" w:hAnsi="Times New Roman"/>
          <w:color w:val="000000" w:themeColor="text1"/>
          <w:sz w:val="28"/>
          <w:szCs w:val="28"/>
          <w:lang w:eastAsia="uk-UA"/>
        </w:rPr>
      </w:pPr>
      <w:r w:rsidRPr="0042294B">
        <w:rPr>
          <w:rFonts w:ascii="Times New Roman" w:eastAsia="Times New Roman" w:hAnsi="Times New Roman"/>
          <w:color w:val="000000" w:themeColor="text1"/>
          <w:sz w:val="28"/>
          <w:szCs w:val="28"/>
          <w:lang w:eastAsia="uk-UA"/>
        </w:rPr>
        <w:t xml:space="preserve">Вказана постанова апеляційного суду Одеської області </w:t>
      </w:r>
      <w:r w:rsidR="006D4477" w:rsidRPr="0042294B">
        <w:rPr>
          <w:rFonts w:ascii="Times New Roman" w:eastAsia="Times New Roman" w:hAnsi="Times New Roman"/>
          <w:color w:val="000000" w:themeColor="text1"/>
          <w:sz w:val="28"/>
          <w:szCs w:val="28"/>
          <w:lang w:eastAsia="uk-UA"/>
        </w:rPr>
        <w:t xml:space="preserve">була </w:t>
      </w:r>
      <w:r w:rsidRPr="0042294B">
        <w:rPr>
          <w:rFonts w:ascii="Times New Roman" w:eastAsia="Times New Roman" w:hAnsi="Times New Roman"/>
          <w:color w:val="000000" w:themeColor="text1"/>
          <w:sz w:val="28"/>
          <w:szCs w:val="28"/>
          <w:lang w:eastAsia="uk-UA"/>
        </w:rPr>
        <w:t>залишена без змін</w:t>
      </w:r>
      <w:r w:rsidRPr="0042294B">
        <w:rPr>
          <w:rFonts w:ascii="Times New Roman" w:hAnsi="Times New Roman"/>
          <w:color w:val="000000" w:themeColor="text1"/>
          <w:sz w:val="28"/>
          <w:szCs w:val="28"/>
        </w:rPr>
        <w:t xml:space="preserve"> п</w:t>
      </w:r>
      <w:r w:rsidR="00720E4B" w:rsidRPr="0042294B">
        <w:rPr>
          <w:rFonts w:ascii="Times New Roman" w:hAnsi="Times New Roman"/>
          <w:color w:val="000000" w:themeColor="text1"/>
          <w:sz w:val="28"/>
          <w:szCs w:val="28"/>
        </w:rPr>
        <w:t>остановою Касаційного цивільного суду у складі Верховного Суду від 19 травня 2020 року</w:t>
      </w:r>
      <w:r w:rsidR="00563966" w:rsidRPr="0042294B">
        <w:rPr>
          <w:rFonts w:ascii="Times New Roman" w:hAnsi="Times New Roman"/>
          <w:color w:val="000000" w:themeColor="text1"/>
          <w:sz w:val="28"/>
          <w:szCs w:val="28"/>
        </w:rPr>
        <w:t xml:space="preserve">, </w:t>
      </w:r>
      <w:r w:rsidR="006D4477" w:rsidRPr="0042294B">
        <w:rPr>
          <w:rFonts w:ascii="Times New Roman" w:hAnsi="Times New Roman"/>
          <w:color w:val="000000" w:themeColor="text1"/>
          <w:sz w:val="28"/>
          <w:szCs w:val="28"/>
        </w:rPr>
        <w:t xml:space="preserve">який підтримав висновки судів попередніх інстанцій </w:t>
      </w:r>
      <w:r w:rsidR="006D4477" w:rsidRPr="0042294B">
        <w:rPr>
          <w:rFonts w:ascii="Times New Roman" w:hAnsi="Times New Roman"/>
          <w:color w:val="000000" w:themeColor="text1"/>
          <w:sz w:val="28"/>
          <w:szCs w:val="28"/>
        </w:rPr>
        <w:lastRenderedPageBreak/>
        <w:t xml:space="preserve">та виходив з того, що зі змісту заявлених позивачем вимог слідує, що між сторонами виник </w:t>
      </w:r>
      <w:r w:rsidR="00406CD5" w:rsidRPr="0042294B">
        <w:rPr>
          <w:rFonts w:ascii="Times New Roman" w:hAnsi="Times New Roman"/>
          <w:color w:val="000000" w:themeColor="text1"/>
          <w:sz w:val="28"/>
          <w:szCs w:val="28"/>
        </w:rPr>
        <w:t xml:space="preserve">спір </w:t>
      </w:r>
      <w:r w:rsidR="006D4477" w:rsidRPr="0042294B">
        <w:rPr>
          <w:rFonts w:ascii="Times New Roman" w:hAnsi="Times New Roman"/>
          <w:color w:val="000000" w:themeColor="text1"/>
          <w:sz w:val="28"/>
          <w:szCs w:val="28"/>
        </w:rPr>
        <w:t>з приводу нерухомого майна, оскільки стосується витребування будівлі дорожнього сервісу та земельної ділянки, а також зобов’язання їх звільнити</w:t>
      </w:r>
      <w:r w:rsidR="00720E4B" w:rsidRPr="0042294B">
        <w:rPr>
          <w:rFonts w:ascii="Times New Roman" w:eastAsia="Times New Roman" w:hAnsi="Times New Roman"/>
          <w:color w:val="000000" w:themeColor="text1"/>
          <w:sz w:val="28"/>
          <w:szCs w:val="28"/>
          <w:lang w:eastAsia="uk-UA"/>
        </w:rPr>
        <w:t>.</w:t>
      </w:r>
    </w:p>
    <w:p w:rsidR="00424CDD" w:rsidRPr="0042294B" w:rsidRDefault="00895B57" w:rsidP="00424CDD">
      <w:pPr>
        <w:pStyle w:val="rtejustify"/>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Вищ</w:t>
      </w:r>
      <w:r w:rsidR="001C120E" w:rsidRPr="0042294B">
        <w:rPr>
          <w:color w:val="000000" w:themeColor="text1"/>
          <w:sz w:val="28"/>
          <w:szCs w:val="28"/>
        </w:rPr>
        <w:t>а</w:t>
      </w:r>
      <w:r w:rsidRPr="0042294B">
        <w:rPr>
          <w:color w:val="000000" w:themeColor="text1"/>
          <w:sz w:val="28"/>
          <w:szCs w:val="28"/>
        </w:rPr>
        <w:t xml:space="preserve"> рад</w:t>
      </w:r>
      <w:r w:rsidR="001C120E" w:rsidRPr="0042294B">
        <w:rPr>
          <w:color w:val="000000" w:themeColor="text1"/>
          <w:sz w:val="28"/>
          <w:szCs w:val="28"/>
        </w:rPr>
        <w:t>а</w:t>
      </w:r>
      <w:r w:rsidRPr="0042294B">
        <w:rPr>
          <w:color w:val="000000" w:themeColor="text1"/>
          <w:sz w:val="28"/>
          <w:szCs w:val="28"/>
        </w:rPr>
        <w:t xml:space="preserve"> правосуддя враховує </w:t>
      </w:r>
      <w:r w:rsidR="007E3840" w:rsidRPr="0042294B">
        <w:rPr>
          <w:color w:val="000000" w:themeColor="text1"/>
          <w:sz w:val="28"/>
          <w:szCs w:val="28"/>
        </w:rPr>
        <w:t xml:space="preserve">доводи, викладені </w:t>
      </w:r>
      <w:r w:rsidRPr="0042294B">
        <w:rPr>
          <w:color w:val="000000" w:themeColor="text1"/>
          <w:sz w:val="28"/>
          <w:szCs w:val="28"/>
        </w:rPr>
        <w:t xml:space="preserve">суддею </w:t>
      </w:r>
      <w:proofErr w:type="spellStart"/>
      <w:r w:rsidR="001C120E" w:rsidRPr="0042294B">
        <w:rPr>
          <w:color w:val="000000" w:themeColor="text1"/>
          <w:sz w:val="28"/>
          <w:szCs w:val="28"/>
        </w:rPr>
        <w:t>Горяєвим</w:t>
      </w:r>
      <w:proofErr w:type="spellEnd"/>
      <w:r w:rsidR="007E3840" w:rsidRPr="0042294B">
        <w:rPr>
          <w:color w:val="000000" w:themeColor="text1"/>
          <w:sz w:val="28"/>
          <w:szCs w:val="28"/>
        </w:rPr>
        <w:t> </w:t>
      </w:r>
      <w:r w:rsidR="001C120E" w:rsidRPr="0042294B">
        <w:rPr>
          <w:color w:val="000000" w:themeColor="text1"/>
          <w:sz w:val="28"/>
          <w:szCs w:val="28"/>
        </w:rPr>
        <w:t xml:space="preserve">І.М. </w:t>
      </w:r>
      <w:r w:rsidR="007E3840" w:rsidRPr="0042294B">
        <w:rPr>
          <w:color w:val="000000" w:themeColor="text1"/>
          <w:sz w:val="28"/>
          <w:szCs w:val="28"/>
        </w:rPr>
        <w:t xml:space="preserve">та його представником у скаргах, </w:t>
      </w:r>
      <w:r w:rsidRPr="0042294B">
        <w:rPr>
          <w:color w:val="000000" w:themeColor="text1"/>
          <w:sz w:val="28"/>
          <w:szCs w:val="28"/>
        </w:rPr>
        <w:t>та вважає, що вони не спростовують допущених суддею порушень</w:t>
      </w:r>
      <w:r w:rsidR="00AD037D" w:rsidRPr="0042294B">
        <w:rPr>
          <w:color w:val="000000" w:themeColor="text1"/>
          <w:sz w:val="28"/>
          <w:szCs w:val="28"/>
        </w:rPr>
        <w:t xml:space="preserve">, які </w:t>
      </w:r>
      <w:r w:rsidRPr="0042294B">
        <w:rPr>
          <w:color w:val="000000" w:themeColor="text1"/>
          <w:sz w:val="28"/>
          <w:szCs w:val="28"/>
        </w:rPr>
        <w:t>свідчать про не</w:t>
      </w:r>
      <w:r w:rsidR="00424CDD" w:rsidRPr="0042294B">
        <w:rPr>
          <w:color w:val="000000" w:themeColor="text1"/>
          <w:sz w:val="28"/>
          <w:szCs w:val="28"/>
        </w:rPr>
        <w:t xml:space="preserve">належне </w:t>
      </w:r>
      <w:r w:rsidRPr="0042294B">
        <w:rPr>
          <w:color w:val="000000" w:themeColor="text1"/>
          <w:sz w:val="28"/>
          <w:szCs w:val="28"/>
        </w:rPr>
        <w:t xml:space="preserve">ставлення судді </w:t>
      </w:r>
      <w:proofErr w:type="spellStart"/>
      <w:r w:rsidR="007E3840" w:rsidRPr="0042294B">
        <w:rPr>
          <w:color w:val="000000" w:themeColor="text1"/>
          <w:sz w:val="28"/>
          <w:szCs w:val="28"/>
        </w:rPr>
        <w:t>Горяєва</w:t>
      </w:r>
      <w:proofErr w:type="spellEnd"/>
      <w:r w:rsidR="007E3840" w:rsidRPr="0042294B">
        <w:rPr>
          <w:color w:val="000000" w:themeColor="text1"/>
          <w:sz w:val="28"/>
          <w:szCs w:val="28"/>
        </w:rPr>
        <w:t xml:space="preserve"> І.М. </w:t>
      </w:r>
      <w:r w:rsidRPr="0042294B">
        <w:rPr>
          <w:color w:val="000000" w:themeColor="text1"/>
          <w:sz w:val="28"/>
          <w:szCs w:val="28"/>
        </w:rPr>
        <w:t>до службових обов’язків</w:t>
      </w:r>
      <w:r w:rsidR="00AD037D" w:rsidRPr="0042294B">
        <w:rPr>
          <w:color w:val="000000" w:themeColor="text1"/>
          <w:sz w:val="28"/>
          <w:szCs w:val="28"/>
        </w:rPr>
        <w:t xml:space="preserve">. </w:t>
      </w:r>
      <w:r w:rsidRPr="0042294B">
        <w:rPr>
          <w:color w:val="000000" w:themeColor="text1"/>
          <w:sz w:val="28"/>
          <w:szCs w:val="28"/>
        </w:rPr>
        <w:t xml:space="preserve">При цьому </w:t>
      </w:r>
      <w:r w:rsidR="007E3840" w:rsidRPr="0042294B">
        <w:rPr>
          <w:color w:val="000000" w:themeColor="text1"/>
          <w:sz w:val="28"/>
          <w:szCs w:val="28"/>
        </w:rPr>
        <w:t xml:space="preserve">з урахуванням встановлених Вищою радою правосуддя та викладених вище обставин відсутні підстави </w:t>
      </w:r>
      <w:r w:rsidRPr="0042294B">
        <w:rPr>
          <w:color w:val="000000" w:themeColor="text1"/>
          <w:sz w:val="28"/>
          <w:szCs w:val="28"/>
        </w:rPr>
        <w:t xml:space="preserve">для висновку, що такі </w:t>
      </w:r>
      <w:r w:rsidR="008274E0" w:rsidRPr="0042294B">
        <w:rPr>
          <w:color w:val="000000" w:themeColor="text1"/>
          <w:sz w:val="28"/>
          <w:szCs w:val="28"/>
        </w:rPr>
        <w:t>порушення</w:t>
      </w:r>
      <w:r w:rsidRPr="0042294B">
        <w:rPr>
          <w:color w:val="000000" w:themeColor="text1"/>
          <w:sz w:val="28"/>
          <w:szCs w:val="28"/>
        </w:rPr>
        <w:t xml:space="preserve"> суддею </w:t>
      </w:r>
      <w:proofErr w:type="spellStart"/>
      <w:r w:rsidR="002D435F" w:rsidRPr="0042294B">
        <w:rPr>
          <w:color w:val="000000" w:themeColor="text1"/>
          <w:sz w:val="28"/>
          <w:szCs w:val="28"/>
        </w:rPr>
        <w:t>Горяєвим</w:t>
      </w:r>
      <w:proofErr w:type="spellEnd"/>
      <w:r w:rsidR="0085558B" w:rsidRPr="0042294B">
        <w:rPr>
          <w:color w:val="000000" w:themeColor="text1"/>
          <w:sz w:val="28"/>
          <w:szCs w:val="28"/>
        </w:rPr>
        <w:t> </w:t>
      </w:r>
      <w:r w:rsidR="002D435F" w:rsidRPr="0042294B">
        <w:rPr>
          <w:color w:val="000000" w:themeColor="text1"/>
          <w:sz w:val="28"/>
          <w:szCs w:val="28"/>
        </w:rPr>
        <w:t>І.М.</w:t>
      </w:r>
      <w:r w:rsidR="00406CD5" w:rsidRPr="0042294B">
        <w:rPr>
          <w:color w:val="000000" w:themeColor="text1"/>
          <w:sz w:val="28"/>
          <w:szCs w:val="28"/>
        </w:rPr>
        <w:t xml:space="preserve"> допущено умисно</w:t>
      </w:r>
      <w:r w:rsidRPr="0042294B">
        <w:rPr>
          <w:color w:val="000000" w:themeColor="text1"/>
          <w:sz w:val="28"/>
          <w:szCs w:val="28"/>
        </w:rPr>
        <w:t>.</w:t>
      </w:r>
    </w:p>
    <w:p w:rsidR="00720E4B" w:rsidRPr="0042294B" w:rsidRDefault="00720E4B" w:rsidP="002D435F">
      <w:pPr>
        <w:pStyle w:val="rtejustify"/>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 xml:space="preserve">За таких обставин дії судді </w:t>
      </w:r>
      <w:proofErr w:type="spellStart"/>
      <w:r w:rsidRPr="0042294B">
        <w:rPr>
          <w:color w:val="000000" w:themeColor="text1"/>
          <w:sz w:val="28"/>
          <w:szCs w:val="28"/>
        </w:rPr>
        <w:t>Горяєва</w:t>
      </w:r>
      <w:proofErr w:type="spellEnd"/>
      <w:r w:rsidRPr="0042294B">
        <w:rPr>
          <w:color w:val="000000" w:themeColor="text1"/>
          <w:sz w:val="28"/>
          <w:szCs w:val="28"/>
        </w:rPr>
        <w:t xml:space="preserve"> І.М під час постановлення ухвали про забезпечення позову у справі № 496/2239/18 слід кваліфікувати як дисциплінарні проступки, передбачені підпунктом «б» пункту 1 (внаслідок недбалості </w:t>
      </w:r>
      <w:proofErr w:type="spellStart"/>
      <w:r w:rsidRPr="0042294B">
        <w:rPr>
          <w:color w:val="000000" w:themeColor="text1"/>
          <w:sz w:val="28"/>
          <w:szCs w:val="28"/>
        </w:rPr>
        <w:t>незазначення</w:t>
      </w:r>
      <w:proofErr w:type="spellEnd"/>
      <w:r w:rsidRPr="0042294B">
        <w:rPr>
          <w:color w:val="000000" w:themeColor="text1"/>
          <w:sz w:val="28"/>
          <w:szCs w:val="28"/>
        </w:rPr>
        <w:t xml:space="preserve"> в судовому рішенні мотивів прийняття або відхилення аргументів сторін щодо суті спору) та пунктом 4 частини першої</w:t>
      </w:r>
      <w:r w:rsidR="0085558B" w:rsidRPr="0042294B">
        <w:rPr>
          <w:color w:val="000000" w:themeColor="text1"/>
          <w:sz w:val="28"/>
          <w:szCs w:val="28"/>
        </w:rPr>
        <w:t xml:space="preserve"> </w:t>
      </w:r>
      <w:r w:rsidRPr="0042294B">
        <w:rPr>
          <w:color w:val="000000" w:themeColor="text1"/>
          <w:sz w:val="28"/>
          <w:szCs w:val="28"/>
        </w:rPr>
        <w:t>(внаслідок грубої недбалості допущення суддею, який брав участь в ухваленні судового рішення, порушення прав людини і основоположних свобод (права власності і права на справедливий суд)</w:t>
      </w:r>
      <w:r w:rsidR="00ED636D" w:rsidRPr="0042294B">
        <w:rPr>
          <w:color w:val="000000" w:themeColor="text1"/>
          <w:sz w:val="28"/>
          <w:szCs w:val="28"/>
        </w:rPr>
        <w:t>)</w:t>
      </w:r>
      <w:r w:rsidR="0085558B" w:rsidRPr="0042294B">
        <w:rPr>
          <w:color w:val="000000" w:themeColor="text1"/>
          <w:sz w:val="28"/>
          <w:szCs w:val="28"/>
        </w:rPr>
        <w:t xml:space="preserve"> </w:t>
      </w:r>
      <w:hyperlink r:id="rId13" w:anchor="1136" w:tgtFrame="_blank" w:tooltip="Про судоустрій і статус суддів; нормативно-правовий акт № 1402-VIII від 02.06.2016" w:history="1">
        <w:r w:rsidR="0085558B" w:rsidRPr="0042294B">
          <w:rPr>
            <w:rStyle w:val="a6"/>
            <w:color w:val="000000" w:themeColor="text1"/>
            <w:sz w:val="28"/>
            <w:szCs w:val="28"/>
            <w:u w:val="none"/>
          </w:rPr>
          <w:t xml:space="preserve">статті 106 Закону </w:t>
        </w:r>
      </w:hyperlink>
      <w:r w:rsidR="0085558B" w:rsidRPr="0042294B">
        <w:rPr>
          <w:color w:val="000000" w:themeColor="text1"/>
          <w:sz w:val="28"/>
          <w:szCs w:val="28"/>
        </w:rPr>
        <w:t>України «Про судоустрій і статус суддів»</w:t>
      </w:r>
      <w:r w:rsidRPr="0042294B">
        <w:rPr>
          <w:color w:val="000000" w:themeColor="text1"/>
          <w:sz w:val="28"/>
          <w:szCs w:val="28"/>
        </w:rPr>
        <w:t>.</w:t>
      </w:r>
    </w:p>
    <w:p w:rsidR="00B826B7" w:rsidRPr="0042294B" w:rsidRDefault="00B826B7" w:rsidP="00B826B7">
      <w:pPr>
        <w:pStyle w:val="rvps2"/>
        <w:shd w:val="clear" w:color="auto" w:fill="FFFFFF"/>
        <w:spacing w:before="0" w:beforeAutospacing="0" w:after="0" w:afterAutospacing="0"/>
        <w:ind w:firstLine="709"/>
        <w:jc w:val="both"/>
        <w:rPr>
          <w:color w:val="000000" w:themeColor="text1"/>
          <w:sz w:val="28"/>
          <w:szCs w:val="28"/>
        </w:rPr>
      </w:pPr>
      <w:r w:rsidRPr="0042294B">
        <w:rPr>
          <w:color w:val="000000" w:themeColor="text1"/>
          <w:sz w:val="28"/>
          <w:szCs w:val="28"/>
        </w:rPr>
        <w:t>Як передбачено частиною дев’ятою статті 109 Закону України «Про судоустрій і статус суддів», і</w:t>
      </w:r>
      <w:r w:rsidRPr="0042294B">
        <w:rPr>
          <w:color w:val="000000" w:themeColor="text1"/>
          <w:sz w:val="28"/>
          <w:szCs w:val="28"/>
          <w:shd w:val="clear" w:color="auto" w:fill="FFFFFF"/>
        </w:rPr>
        <w:t>стотним дисциплінарним проступком або грубим нехтуванням обов’язками судді, що є несу</w:t>
      </w:r>
      <w:r w:rsidRPr="0042294B">
        <w:rPr>
          <w:color w:val="000000" w:themeColor="text1"/>
          <w:sz w:val="28"/>
          <w:szCs w:val="28"/>
        </w:rPr>
        <w:t>місним зі статусом судді або виявляє його невідповідність займаній посаді, може бути визнаний, зокрема, будь-який з таких фактів:</w:t>
      </w:r>
      <w:bookmarkStart w:id="11" w:name="n1199"/>
      <w:bookmarkEnd w:id="11"/>
      <w:r w:rsidRPr="0042294B">
        <w:rPr>
          <w:color w:val="000000" w:themeColor="text1"/>
          <w:sz w:val="28"/>
          <w:szCs w:val="28"/>
        </w:rPr>
        <w:t xml:space="preserve">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bookmarkStart w:id="12" w:name="n1200"/>
      <w:bookmarkStart w:id="13" w:name="n1205"/>
      <w:bookmarkEnd w:id="12"/>
      <w:bookmarkEnd w:id="13"/>
      <w:r w:rsidRPr="0042294B">
        <w:rPr>
          <w:color w:val="000000" w:themeColor="text1"/>
          <w:sz w:val="28"/>
          <w:szCs w:val="28"/>
        </w:rPr>
        <w:t xml:space="preserve"> суддя допустив інше грубе порушення закону, що підриває суспільну довіру до суду.</w:t>
      </w:r>
    </w:p>
    <w:p w:rsidR="00B826B7" w:rsidRPr="0042294B" w:rsidRDefault="00B826B7" w:rsidP="00B826B7">
      <w:pPr>
        <w:pStyle w:val="a3"/>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Вища рада правосуддя дійшла висновку, що порушення, допущені суддею </w:t>
      </w:r>
      <w:proofErr w:type="spellStart"/>
      <w:r w:rsidRPr="0042294B">
        <w:rPr>
          <w:rFonts w:ascii="Times New Roman" w:hAnsi="Times New Roman"/>
          <w:color w:val="000000" w:themeColor="text1"/>
          <w:sz w:val="28"/>
          <w:szCs w:val="28"/>
        </w:rPr>
        <w:t>Горяєвим</w:t>
      </w:r>
      <w:proofErr w:type="spellEnd"/>
      <w:r w:rsidRPr="0042294B">
        <w:rPr>
          <w:rFonts w:ascii="Times New Roman" w:hAnsi="Times New Roman"/>
          <w:color w:val="000000" w:themeColor="text1"/>
          <w:sz w:val="28"/>
          <w:szCs w:val="28"/>
        </w:rPr>
        <w:t xml:space="preserve"> І.М. під час постановлення ухвали від 11 червня 2018 року про забезпечення позову у справі № 496/2239/18, </w:t>
      </w:r>
      <w:r w:rsidR="00EA6050" w:rsidRPr="0042294B">
        <w:rPr>
          <w:rFonts w:ascii="Times New Roman" w:hAnsi="Times New Roman"/>
          <w:color w:val="000000" w:themeColor="text1"/>
          <w:sz w:val="28"/>
          <w:szCs w:val="28"/>
        </w:rPr>
        <w:t xml:space="preserve">за характером </w:t>
      </w:r>
      <w:r w:rsidRPr="0042294B">
        <w:rPr>
          <w:rFonts w:ascii="Times New Roman" w:hAnsi="Times New Roman"/>
          <w:color w:val="000000" w:themeColor="text1"/>
          <w:sz w:val="28"/>
          <w:szCs w:val="28"/>
        </w:rPr>
        <w:t xml:space="preserve">не містять ознак істотного дисциплінарного проступку, натомість охоплюються складом дисциплінарних проступків, визначених підпунктом «б» пункту 1 (внаслідок недбалості </w:t>
      </w:r>
      <w:proofErr w:type="spellStart"/>
      <w:r w:rsidRPr="0042294B">
        <w:rPr>
          <w:rFonts w:ascii="Times New Roman" w:hAnsi="Times New Roman"/>
          <w:color w:val="000000" w:themeColor="text1"/>
          <w:sz w:val="28"/>
          <w:szCs w:val="28"/>
        </w:rPr>
        <w:t>незазначення</w:t>
      </w:r>
      <w:proofErr w:type="spellEnd"/>
      <w:r w:rsidRPr="0042294B">
        <w:rPr>
          <w:rFonts w:ascii="Times New Roman" w:hAnsi="Times New Roman"/>
          <w:color w:val="000000" w:themeColor="text1"/>
          <w:sz w:val="28"/>
          <w:szCs w:val="28"/>
        </w:rPr>
        <w:t xml:space="preserve"> в судовому рішенні мотивів прийняття або відхилення аргументів сторін щодо суті спору) та пунктом 4 частини першої (внаслідок грубої недбалості порушення </w:t>
      </w:r>
      <w:r w:rsidRPr="0042294B">
        <w:rPr>
          <w:rFonts w:ascii="Times New Roman" w:hAnsi="Times New Roman"/>
          <w:color w:val="000000" w:themeColor="text1"/>
          <w:sz w:val="28"/>
          <w:szCs w:val="28"/>
          <w:shd w:val="clear" w:color="auto" w:fill="FFFFFF"/>
        </w:rPr>
        <w:t>допущення суддею, який брав участь в ухваленні судового рішення, порушення прав людини і основоположних свобод)</w:t>
      </w:r>
      <w:r w:rsidRPr="0042294B">
        <w:rPr>
          <w:rFonts w:ascii="Times New Roman" w:hAnsi="Times New Roman"/>
          <w:color w:val="000000" w:themeColor="text1"/>
          <w:sz w:val="28"/>
          <w:szCs w:val="28"/>
        </w:rPr>
        <w:t xml:space="preserve"> статті 106 Закону України «Про судоустрій і статус суддів».</w:t>
      </w:r>
    </w:p>
    <w:p w:rsidR="00B826B7" w:rsidRPr="0042294B" w:rsidRDefault="00B826B7" w:rsidP="00B826B7">
      <w:pPr>
        <w:pStyle w:val="a3"/>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З огляду на викладені вище обставини Вища рада правосуддя вважає, що рішення Третьої Дисциплінарної палати Вищої ради правосуддя від 23 січня 2019 року № 181/3дп/15-19 слід змінити.</w:t>
      </w:r>
    </w:p>
    <w:p w:rsidR="00B826B7" w:rsidRPr="0042294B" w:rsidRDefault="00B826B7" w:rsidP="00B826B7">
      <w:pPr>
        <w:spacing w:after="0" w:line="240" w:lineRule="auto"/>
        <w:ind w:right="23"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Як передбачено пунктом 4 частини десятої статті 51 Закону України «Про Вищу раду правосуддя»</w:t>
      </w:r>
      <w:r w:rsidR="00BC0BE3" w:rsidRPr="0042294B">
        <w:rPr>
          <w:rFonts w:ascii="Times New Roman" w:hAnsi="Times New Roman"/>
          <w:color w:val="000000" w:themeColor="text1"/>
          <w:sz w:val="28"/>
          <w:szCs w:val="28"/>
        </w:rPr>
        <w:t>,</w:t>
      </w:r>
      <w:r w:rsidRPr="0042294B">
        <w:rPr>
          <w:rFonts w:ascii="Times New Roman" w:hAnsi="Times New Roman"/>
          <w:color w:val="000000" w:themeColor="text1"/>
          <w:sz w:val="28"/>
          <w:szCs w:val="28"/>
        </w:rPr>
        <w:t xml:space="preserve"> за результатами розгляду скарги на рішення </w:t>
      </w:r>
      <w:r w:rsidRPr="0042294B">
        <w:rPr>
          <w:rFonts w:ascii="Times New Roman" w:hAnsi="Times New Roman"/>
          <w:color w:val="000000" w:themeColor="text1"/>
          <w:sz w:val="28"/>
          <w:szCs w:val="28"/>
        </w:rPr>
        <w:lastRenderedPageBreak/>
        <w:t>Дисциплінарної палати Вища рада правосуддя має право</w:t>
      </w:r>
      <w:bookmarkStart w:id="14" w:name="n484"/>
      <w:bookmarkStart w:id="15" w:name="n487"/>
      <w:bookmarkEnd w:id="14"/>
      <w:bookmarkEnd w:id="15"/>
      <w:r w:rsidRPr="0042294B">
        <w:rPr>
          <w:rFonts w:ascii="Times New Roman" w:hAnsi="Times New Roman"/>
          <w:color w:val="000000" w:themeColor="text1"/>
          <w:sz w:val="28"/>
          <w:szCs w:val="28"/>
        </w:rPr>
        <w:t xml:space="preserve"> змінити рішення Дисциплінарної палати, застосувавши інший вид дисциплінарного стягнення.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Згідно з характеристикою за підписом голови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за час роботи на посаді судді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зарекомендував себе позитивно, як кваліфікований фахівець у галузі права. До виконання службових обов’язків ставиться сумлінно і відповідально, постійно підвищує свій професійний рівень, користується повагою у колективі суду.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Вища кваліфікаційна комісія суддів України листом від 19 листопада 2018 року № 27-6997/18 (вх. № 9800/0/8-18 від 19 листопада 2018 року) повідомила Вищу раду правосуддя, що суддю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до дисциплінарної відповідальності Вищою кваліфікаційною комісією суддів України притягнуто не було. </w:t>
      </w:r>
    </w:p>
    <w:p w:rsidR="00B826B7" w:rsidRPr="0042294B" w:rsidRDefault="00B826B7" w:rsidP="00B826B7">
      <w:pPr>
        <w:spacing w:after="0" w:line="240" w:lineRule="auto"/>
        <w:ind w:firstLine="709"/>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Згідно з відомостями офіційного </w:t>
      </w:r>
      <w:proofErr w:type="spellStart"/>
      <w:r w:rsidRPr="0042294B">
        <w:rPr>
          <w:rFonts w:ascii="Times New Roman" w:hAnsi="Times New Roman"/>
          <w:color w:val="000000" w:themeColor="text1"/>
          <w:sz w:val="28"/>
          <w:szCs w:val="28"/>
        </w:rPr>
        <w:t>веб-сайту</w:t>
      </w:r>
      <w:proofErr w:type="spellEnd"/>
      <w:r w:rsidRPr="0042294B">
        <w:rPr>
          <w:rFonts w:ascii="Times New Roman" w:hAnsi="Times New Roman"/>
          <w:color w:val="000000" w:themeColor="text1"/>
          <w:sz w:val="28"/>
          <w:szCs w:val="28"/>
        </w:rPr>
        <w:t xml:space="preserve"> Вищої ради правосуддя суддя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w:t>
      </w:r>
      <w:proofErr w:type="spellEnd"/>
      <w:r w:rsidRPr="0042294B">
        <w:rPr>
          <w:rFonts w:ascii="Times New Roman" w:hAnsi="Times New Roman"/>
          <w:color w:val="000000" w:themeColor="text1"/>
          <w:sz w:val="28"/>
          <w:szCs w:val="28"/>
        </w:rPr>
        <w:t xml:space="preserve"> І.М. до дисциплінарної відповідальності не притягувався.</w:t>
      </w:r>
    </w:p>
    <w:p w:rsidR="00B826B7" w:rsidRPr="0042294B" w:rsidRDefault="00B826B7" w:rsidP="00B826B7">
      <w:pPr>
        <w:spacing w:after="0" w:line="240" w:lineRule="auto"/>
        <w:ind w:firstLine="708"/>
        <w:contextualSpacing/>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Враховуючи позитивну характеристику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а також те, що раніше суддя не притягувався до дисциплінарної відповідальності, беручи до уваги обставини допущення порушень суддею </w:t>
      </w:r>
      <w:proofErr w:type="spellStart"/>
      <w:r w:rsidRPr="0042294B">
        <w:rPr>
          <w:rFonts w:ascii="Times New Roman" w:hAnsi="Times New Roman"/>
          <w:color w:val="000000" w:themeColor="text1"/>
          <w:sz w:val="28"/>
          <w:szCs w:val="28"/>
        </w:rPr>
        <w:t>Горяєвим</w:t>
      </w:r>
      <w:proofErr w:type="spellEnd"/>
      <w:r w:rsidRPr="0042294B">
        <w:rPr>
          <w:rFonts w:ascii="Times New Roman" w:hAnsi="Times New Roman"/>
          <w:color w:val="000000" w:themeColor="text1"/>
          <w:sz w:val="28"/>
          <w:szCs w:val="28"/>
        </w:rPr>
        <w:t xml:space="preserve"> І.М., недоведеність заподіяння збитків власнику спірного нерухомого майна (орендарю) та негативних наслідків для авторитету правосуддя в цілому, Вища рада правосуддя вважає, що застосування до судді дисциплінарного стягнення у виді т</w:t>
      </w:r>
      <w:r w:rsidRPr="0042294B">
        <w:rPr>
          <w:rFonts w:ascii="Times New Roman" w:hAnsi="Times New Roman"/>
          <w:color w:val="000000" w:themeColor="text1"/>
          <w:sz w:val="28"/>
          <w:szCs w:val="28"/>
          <w:shd w:val="clear" w:color="auto" w:fill="FFFFFF"/>
        </w:rPr>
        <w:t xml:space="preserve">имчасового відсторонення від здійснення правосуддя строком на три місяці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ЦПК України та подальшим кваліфікаційним оцінюванням для підтвердження здатності судді здійснювати правосуддя у відповідному суді </w:t>
      </w:r>
      <w:r w:rsidRPr="0042294B">
        <w:rPr>
          <w:rFonts w:ascii="Times New Roman" w:hAnsi="Times New Roman"/>
          <w:color w:val="000000" w:themeColor="text1"/>
          <w:sz w:val="28"/>
          <w:szCs w:val="28"/>
        </w:rPr>
        <w:t>є пропорційним вчиненому дисциплінарному проступку і відповідає вимогам статті 109 Закону України «Про судоустрій і статус суддів», статті 50 Закону України «Про Вищу раду правосуддя».</w:t>
      </w:r>
    </w:p>
    <w:p w:rsidR="00B826B7" w:rsidRPr="0042294B" w:rsidRDefault="00B826B7" w:rsidP="00B826B7">
      <w:pPr>
        <w:spacing w:after="0" w:line="240" w:lineRule="auto"/>
        <w:ind w:firstLine="567"/>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Доводи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про упередженість членів Третьої Дисциплінарної палати Вищої ради правосуддя під час розгляду дисциплінарної справи з тих підстав, що </w:t>
      </w:r>
      <w:r w:rsidRPr="0042294B">
        <w:rPr>
          <w:rFonts w:ascii="Times New Roman" w:hAnsi="Times New Roman"/>
          <w:color w:val="000000" w:themeColor="text1"/>
          <w:sz w:val="28"/>
          <w:szCs w:val="28"/>
          <w:lang w:eastAsia="uk-UA" w:bidi="uk-UA"/>
        </w:rPr>
        <w:t xml:space="preserve">в ухвалі про відкриття дисциплінарної справи стосовно нього вже була висловлена позиція Дисциплінарної палати (до якої вони входять) про наявність в його діях дисциплінарного проступку, </w:t>
      </w:r>
      <w:r w:rsidRPr="0042294B">
        <w:rPr>
          <w:rFonts w:ascii="Times New Roman" w:hAnsi="Times New Roman"/>
          <w:color w:val="000000" w:themeColor="text1"/>
          <w:sz w:val="28"/>
          <w:szCs w:val="28"/>
        </w:rPr>
        <w:t xml:space="preserve">не заслуговують на увагу з огляду на таке.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lastRenderedPageBreak/>
        <w:t>Як передбачено частиною третьою статті 42 Закону України «Про Вищу раду правосуддя», дисциплінарне провадження включає</w:t>
      </w:r>
      <w:bookmarkStart w:id="16" w:name="n391"/>
      <w:bookmarkEnd w:id="16"/>
      <w:r w:rsidRPr="0042294B">
        <w:rPr>
          <w:rFonts w:ascii="Times New Roman" w:hAnsi="Times New Roman"/>
          <w:color w:val="000000" w:themeColor="text1"/>
          <w:sz w:val="28"/>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Підстави для відмови у відкритті провадження у справі визначені у статті 45 Закону України «Про Вищу раду правосуддя» і під час проведення попередньої перевірки не встановлено обставин, які б свідчили про наявність підстав для відмови у відкритті дисциплінарної справи стосовно судді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І.М.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Відповідно до пункту 12.12 Регламенту Вищої ради правосуддя ухвала про відкриття дисциплінарної справи має містити стислий зміст обставин, з приводу яких проводилася перевірка, та які можуть бути підставою притягнення судді до дисциплінарної відповідальності згідно зі статтею 106 Закону України «Про судоустрій і статус суддів». На цьому етапі дисциплінарної процедури лише встановлюються обставини, що можуть свідчити про наявність ознак дисциплінарного проступку в діях судді, та здійснюється попередня кваліфікація таких дій, а ухвала про відкриття дисциплінарної справи не містить категоричних висновків стосовно наявності у діях судді ознак дисциплінарного проступку, що спростовує відповідні доводи судді, наведені у його скарзі.</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Твердження представника судді – адвоката </w:t>
      </w:r>
      <w:proofErr w:type="spellStart"/>
      <w:r w:rsidRPr="0042294B">
        <w:rPr>
          <w:rFonts w:ascii="Times New Roman" w:hAnsi="Times New Roman"/>
          <w:color w:val="000000" w:themeColor="text1"/>
          <w:sz w:val="28"/>
          <w:szCs w:val="28"/>
        </w:rPr>
        <w:t>Косань</w:t>
      </w:r>
      <w:proofErr w:type="spellEnd"/>
      <w:r w:rsidRPr="0042294B">
        <w:rPr>
          <w:rFonts w:ascii="Times New Roman" w:hAnsi="Times New Roman"/>
          <w:color w:val="000000" w:themeColor="text1"/>
          <w:sz w:val="28"/>
          <w:szCs w:val="28"/>
        </w:rPr>
        <w:t xml:space="preserve"> О.О., викладені у її скарзі, про порушення під час ухвалення рішення Третьою Дисциплінарною палатою таємниці нарадчої кімнати також не підтвердилися під час розгляду скарги. </w:t>
      </w:r>
    </w:p>
    <w:p w:rsidR="00B826B7" w:rsidRPr="0042294B" w:rsidRDefault="00B826B7" w:rsidP="00B826B7">
      <w:pPr>
        <w:spacing w:after="0" w:line="240" w:lineRule="auto"/>
        <w:ind w:firstLine="709"/>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Як свідчить витяг із протоколу засідання Третьої Дисциплінарної палати Вищої ради правосуддя 23 січня 2019 року, до нарадчої кімнати для ухвалення рішення вийшли присутні на засіданні члени палати, окрім доповідача – члена Третьої Дисциплінарної палати Вищої ради правосуддя Мірошниченка А.М.</w:t>
      </w:r>
    </w:p>
    <w:p w:rsidR="00B826B7" w:rsidRPr="0042294B" w:rsidRDefault="00B826B7" w:rsidP="00B826B7">
      <w:pPr>
        <w:pStyle w:val="a3"/>
        <w:ind w:firstLine="708"/>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406CD5" w:rsidRPr="0042294B" w:rsidRDefault="00406CD5" w:rsidP="00B826B7">
      <w:pPr>
        <w:spacing w:after="0" w:line="240" w:lineRule="auto"/>
        <w:jc w:val="center"/>
        <w:rPr>
          <w:rFonts w:ascii="Times New Roman" w:hAnsi="Times New Roman"/>
          <w:b/>
          <w:color w:val="000000" w:themeColor="text1"/>
          <w:sz w:val="28"/>
          <w:szCs w:val="28"/>
        </w:rPr>
      </w:pPr>
    </w:p>
    <w:p w:rsidR="00B826B7" w:rsidRPr="0042294B" w:rsidRDefault="00B826B7" w:rsidP="00B826B7">
      <w:pPr>
        <w:spacing w:after="0" w:line="240" w:lineRule="auto"/>
        <w:jc w:val="center"/>
        <w:rPr>
          <w:rFonts w:ascii="Times New Roman" w:hAnsi="Times New Roman"/>
          <w:b/>
          <w:color w:val="000000" w:themeColor="text1"/>
          <w:sz w:val="28"/>
          <w:szCs w:val="28"/>
        </w:rPr>
      </w:pPr>
      <w:r w:rsidRPr="0042294B">
        <w:rPr>
          <w:rFonts w:ascii="Times New Roman" w:hAnsi="Times New Roman"/>
          <w:b/>
          <w:color w:val="000000" w:themeColor="text1"/>
          <w:sz w:val="28"/>
          <w:szCs w:val="28"/>
        </w:rPr>
        <w:t>вирішила:</w:t>
      </w:r>
    </w:p>
    <w:p w:rsidR="00B826B7" w:rsidRPr="0042294B" w:rsidRDefault="00B826B7" w:rsidP="00B826B7">
      <w:pPr>
        <w:spacing w:after="0" w:line="240" w:lineRule="auto"/>
        <w:ind w:firstLine="709"/>
        <w:jc w:val="center"/>
        <w:rPr>
          <w:rFonts w:ascii="Times New Roman" w:hAnsi="Times New Roman"/>
          <w:color w:val="000000" w:themeColor="text1"/>
          <w:sz w:val="28"/>
          <w:szCs w:val="28"/>
        </w:rPr>
      </w:pPr>
    </w:p>
    <w:p w:rsidR="00B826B7" w:rsidRPr="0042294B" w:rsidRDefault="00B826B7" w:rsidP="00B826B7">
      <w:pPr>
        <w:spacing w:line="240" w:lineRule="auto"/>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рішення Третьої дисциплінарної палати Вищої ради правосуддя від 23 січня 2019 року № 181/3дп/15-19 про притягненн</w:t>
      </w:r>
      <w:r w:rsidR="0029504C" w:rsidRPr="0042294B">
        <w:rPr>
          <w:rFonts w:ascii="Times New Roman" w:hAnsi="Times New Roman"/>
          <w:color w:val="000000" w:themeColor="text1"/>
          <w:sz w:val="28"/>
          <w:szCs w:val="28"/>
        </w:rPr>
        <w:t>і</w:t>
      </w:r>
      <w:r w:rsidRPr="0042294B">
        <w:rPr>
          <w:rFonts w:ascii="Times New Roman" w:hAnsi="Times New Roman"/>
          <w:color w:val="000000" w:themeColor="text1"/>
          <w:sz w:val="28"/>
          <w:szCs w:val="28"/>
        </w:rPr>
        <w:t xml:space="preserve">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Ігоря Миколайовича до дисциплінарної відповідальності змінити.</w:t>
      </w:r>
    </w:p>
    <w:p w:rsidR="00B826B7" w:rsidRPr="0042294B" w:rsidRDefault="00B826B7" w:rsidP="00B826B7">
      <w:pPr>
        <w:spacing w:after="0" w:line="240" w:lineRule="auto"/>
        <w:jc w:val="both"/>
        <w:rPr>
          <w:rFonts w:ascii="Times New Roman" w:hAnsi="Times New Roman"/>
          <w:color w:val="000000" w:themeColor="text1"/>
          <w:sz w:val="28"/>
          <w:szCs w:val="28"/>
        </w:rPr>
      </w:pPr>
      <w:r w:rsidRPr="0042294B">
        <w:rPr>
          <w:rFonts w:ascii="Times New Roman" w:hAnsi="Times New Roman"/>
          <w:color w:val="000000" w:themeColor="text1"/>
          <w:sz w:val="28"/>
          <w:szCs w:val="28"/>
        </w:rPr>
        <w:t xml:space="preserve">Застосувати до судді </w:t>
      </w:r>
      <w:proofErr w:type="spellStart"/>
      <w:r w:rsidRPr="0042294B">
        <w:rPr>
          <w:rFonts w:ascii="Times New Roman" w:hAnsi="Times New Roman"/>
          <w:color w:val="000000" w:themeColor="text1"/>
          <w:sz w:val="28"/>
          <w:szCs w:val="28"/>
        </w:rPr>
        <w:t>Біляївського</w:t>
      </w:r>
      <w:proofErr w:type="spellEnd"/>
      <w:r w:rsidRPr="0042294B">
        <w:rPr>
          <w:rFonts w:ascii="Times New Roman" w:hAnsi="Times New Roman"/>
          <w:color w:val="000000" w:themeColor="text1"/>
          <w:sz w:val="28"/>
          <w:szCs w:val="28"/>
        </w:rPr>
        <w:t xml:space="preserve"> районного суду Одеської області </w:t>
      </w:r>
      <w:proofErr w:type="spellStart"/>
      <w:r w:rsidRPr="0042294B">
        <w:rPr>
          <w:rFonts w:ascii="Times New Roman" w:hAnsi="Times New Roman"/>
          <w:color w:val="000000" w:themeColor="text1"/>
          <w:sz w:val="28"/>
          <w:szCs w:val="28"/>
        </w:rPr>
        <w:t>Горяєва</w:t>
      </w:r>
      <w:proofErr w:type="spellEnd"/>
      <w:r w:rsidRPr="0042294B">
        <w:rPr>
          <w:rFonts w:ascii="Times New Roman" w:hAnsi="Times New Roman"/>
          <w:color w:val="000000" w:themeColor="text1"/>
          <w:sz w:val="28"/>
          <w:szCs w:val="28"/>
        </w:rPr>
        <w:t xml:space="preserve"> Ігоря Миколайовича дисциплінарне стягнення у виді подання про т</w:t>
      </w:r>
      <w:r w:rsidRPr="0042294B">
        <w:rPr>
          <w:rFonts w:ascii="Times New Roman" w:hAnsi="Times New Roman"/>
          <w:color w:val="000000" w:themeColor="text1"/>
          <w:sz w:val="28"/>
          <w:szCs w:val="28"/>
          <w:shd w:val="clear" w:color="auto" w:fill="FFFFFF"/>
        </w:rPr>
        <w:t xml:space="preserve">имчасове, строком на три місяці, відсторонення від здійснення правосуддя – з позбавленням права на отримання доплат до посадового окладу судді та </w:t>
      </w:r>
      <w:r w:rsidRPr="0042294B">
        <w:rPr>
          <w:rFonts w:ascii="Times New Roman" w:hAnsi="Times New Roman"/>
          <w:color w:val="000000" w:themeColor="text1"/>
          <w:sz w:val="28"/>
          <w:szCs w:val="28"/>
          <w:shd w:val="clear" w:color="auto" w:fill="FFFFFF"/>
        </w:rPr>
        <w:lastRenderedPageBreak/>
        <w:t>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та подальшим кваліфікаційним оцінюванням для підтвердження здатності судді здійснювати правосуддя у відповідному суді.</w:t>
      </w:r>
    </w:p>
    <w:p w:rsidR="00B826B7" w:rsidRPr="0042294B" w:rsidRDefault="00B826B7" w:rsidP="00B826B7">
      <w:pPr>
        <w:tabs>
          <w:tab w:val="left" w:pos="6946"/>
        </w:tabs>
        <w:spacing w:before="120" w:after="120" w:line="240" w:lineRule="auto"/>
        <w:rPr>
          <w:rFonts w:ascii="Times New Roman" w:eastAsia="Times New Roman" w:hAnsi="Times New Roman"/>
          <w:b/>
          <w:color w:val="000000" w:themeColor="text1"/>
          <w:sz w:val="28"/>
          <w:szCs w:val="28"/>
          <w:lang w:eastAsia="uk-UA"/>
        </w:rPr>
      </w:pPr>
    </w:p>
    <w:p w:rsidR="00B826B7" w:rsidRPr="0042294B" w:rsidRDefault="00B826B7" w:rsidP="00B826B7">
      <w:pPr>
        <w:tabs>
          <w:tab w:val="left" w:pos="6946"/>
        </w:tabs>
        <w:spacing w:after="0" w:line="240" w:lineRule="auto"/>
        <w:rPr>
          <w:rFonts w:ascii="Times New Roman" w:eastAsia="Times New Roman" w:hAnsi="Times New Roman"/>
          <w:b/>
          <w:color w:val="000000" w:themeColor="text1"/>
          <w:sz w:val="28"/>
          <w:szCs w:val="28"/>
          <w:lang w:eastAsia="uk-UA"/>
        </w:rPr>
      </w:pPr>
      <w:r w:rsidRPr="0042294B">
        <w:rPr>
          <w:rFonts w:ascii="Times New Roman" w:eastAsia="Times New Roman" w:hAnsi="Times New Roman"/>
          <w:b/>
          <w:color w:val="000000" w:themeColor="text1"/>
          <w:sz w:val="28"/>
          <w:szCs w:val="28"/>
          <w:lang w:eastAsia="uk-UA"/>
        </w:rPr>
        <w:t xml:space="preserve">Головуючий на засіданні </w:t>
      </w:r>
    </w:p>
    <w:p w:rsidR="00B826B7" w:rsidRPr="0042294B" w:rsidRDefault="00B826B7" w:rsidP="00B826B7">
      <w:pPr>
        <w:tabs>
          <w:tab w:val="left" w:pos="6946"/>
        </w:tabs>
        <w:spacing w:after="0" w:line="24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uk-UA"/>
        </w:rPr>
        <w:t>Вищої ради правосуддя</w:t>
      </w:r>
      <w:r w:rsidRPr="0042294B">
        <w:rPr>
          <w:rFonts w:ascii="Times New Roman" w:eastAsia="Times New Roman" w:hAnsi="Times New Roman"/>
          <w:b/>
          <w:color w:val="000000" w:themeColor="text1"/>
          <w:sz w:val="28"/>
          <w:szCs w:val="28"/>
          <w:lang w:eastAsia="ru-RU"/>
        </w:rPr>
        <w:tab/>
        <w:t xml:space="preserve">О.В. </w:t>
      </w:r>
      <w:proofErr w:type="spellStart"/>
      <w:r w:rsidRPr="0042294B">
        <w:rPr>
          <w:rFonts w:ascii="Times New Roman" w:eastAsia="Times New Roman" w:hAnsi="Times New Roman"/>
          <w:b/>
          <w:color w:val="000000" w:themeColor="text1"/>
          <w:sz w:val="28"/>
          <w:szCs w:val="28"/>
          <w:lang w:eastAsia="ru-RU"/>
        </w:rPr>
        <w:t>Маловацький</w:t>
      </w:r>
      <w:proofErr w:type="spellEnd"/>
    </w:p>
    <w:p w:rsidR="00B826B7" w:rsidRPr="0042294B" w:rsidRDefault="00B826B7" w:rsidP="00B826B7">
      <w:pPr>
        <w:tabs>
          <w:tab w:val="left" w:pos="6946"/>
        </w:tabs>
        <w:spacing w:after="0" w:line="360" w:lineRule="auto"/>
        <w:rPr>
          <w:rFonts w:ascii="Times New Roman" w:eastAsia="Times New Roman" w:hAnsi="Times New Roman"/>
          <w:b/>
          <w:color w:val="000000" w:themeColor="text1"/>
          <w:sz w:val="28"/>
          <w:szCs w:val="28"/>
          <w:lang w:eastAsia="ru-RU"/>
        </w:rPr>
      </w:pP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Члени Вищої ради правосуддя</w:t>
      </w:r>
      <w:r w:rsidRPr="0042294B">
        <w:rPr>
          <w:rFonts w:ascii="Times New Roman" w:eastAsia="Times New Roman" w:hAnsi="Times New Roman"/>
          <w:b/>
          <w:color w:val="000000" w:themeColor="text1"/>
          <w:sz w:val="28"/>
          <w:szCs w:val="28"/>
          <w:lang w:eastAsia="ru-RU"/>
        </w:rPr>
        <w:tab/>
        <w:t>І.А. Артеменко</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 xml:space="preserve">О.Є. </w:t>
      </w:r>
      <w:proofErr w:type="spellStart"/>
      <w:r w:rsidRPr="0042294B">
        <w:rPr>
          <w:rFonts w:ascii="Times New Roman" w:eastAsia="Times New Roman" w:hAnsi="Times New Roman"/>
          <w:b/>
          <w:color w:val="000000" w:themeColor="text1"/>
          <w:sz w:val="28"/>
          <w:szCs w:val="28"/>
          <w:lang w:eastAsia="ru-RU"/>
        </w:rPr>
        <w:t>Блажівська</w:t>
      </w:r>
      <w:proofErr w:type="spellEnd"/>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В.І. Говоруха</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В.К. Грищук</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 xml:space="preserve">В.І. </w:t>
      </w:r>
      <w:proofErr w:type="spellStart"/>
      <w:r w:rsidRPr="0042294B">
        <w:rPr>
          <w:rFonts w:ascii="Times New Roman" w:eastAsia="Times New Roman" w:hAnsi="Times New Roman"/>
          <w:b/>
          <w:color w:val="000000" w:themeColor="text1"/>
          <w:sz w:val="28"/>
          <w:szCs w:val="28"/>
          <w:lang w:eastAsia="ru-RU"/>
        </w:rPr>
        <w:t>Данішевська</w:t>
      </w:r>
      <w:proofErr w:type="spellEnd"/>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Л.Б. Іванова</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 xml:space="preserve">Н.С. </w:t>
      </w:r>
      <w:proofErr w:type="spellStart"/>
      <w:r w:rsidRPr="0042294B">
        <w:rPr>
          <w:rFonts w:ascii="Times New Roman" w:eastAsia="Times New Roman" w:hAnsi="Times New Roman"/>
          <w:b/>
          <w:color w:val="000000" w:themeColor="text1"/>
          <w:sz w:val="28"/>
          <w:szCs w:val="28"/>
          <w:lang w:eastAsia="ru-RU"/>
        </w:rPr>
        <w:t>Краснощокова</w:t>
      </w:r>
      <w:proofErr w:type="spellEnd"/>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В.В. Матвійчук</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О.В. Прудивус</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 xml:space="preserve">Т.С. </w:t>
      </w:r>
      <w:proofErr w:type="spellStart"/>
      <w:r w:rsidRPr="0042294B">
        <w:rPr>
          <w:rFonts w:ascii="Times New Roman" w:eastAsia="Times New Roman" w:hAnsi="Times New Roman"/>
          <w:b/>
          <w:color w:val="000000" w:themeColor="text1"/>
          <w:sz w:val="28"/>
          <w:szCs w:val="28"/>
          <w:lang w:eastAsia="ru-RU"/>
        </w:rPr>
        <w:t>Розвалаяєва</w:t>
      </w:r>
      <w:proofErr w:type="spellEnd"/>
      <w:r w:rsidRPr="0042294B">
        <w:rPr>
          <w:rFonts w:ascii="Times New Roman" w:eastAsia="Times New Roman" w:hAnsi="Times New Roman"/>
          <w:b/>
          <w:color w:val="000000" w:themeColor="text1"/>
          <w:sz w:val="28"/>
          <w:szCs w:val="28"/>
          <w:lang w:eastAsia="ru-RU"/>
        </w:rPr>
        <w:t xml:space="preserve"> </w:t>
      </w:r>
    </w:p>
    <w:p w:rsidR="00B826B7" w:rsidRPr="0042294B" w:rsidRDefault="00B826B7" w:rsidP="00B826B7">
      <w:pPr>
        <w:tabs>
          <w:tab w:val="left" w:pos="6946"/>
        </w:tabs>
        <w:spacing w:after="0" w:line="480" w:lineRule="auto"/>
        <w:rPr>
          <w:rFonts w:ascii="Times New Roman" w:eastAsia="Times New Roman" w:hAnsi="Times New Roman"/>
          <w:b/>
          <w:color w:val="000000" w:themeColor="text1"/>
          <w:sz w:val="28"/>
          <w:szCs w:val="28"/>
          <w:lang w:eastAsia="ru-RU"/>
        </w:rPr>
      </w:pPr>
      <w:r w:rsidRPr="0042294B">
        <w:rPr>
          <w:rFonts w:ascii="Times New Roman" w:eastAsia="Times New Roman" w:hAnsi="Times New Roman"/>
          <w:b/>
          <w:color w:val="000000" w:themeColor="text1"/>
          <w:sz w:val="28"/>
          <w:szCs w:val="28"/>
          <w:lang w:eastAsia="ru-RU"/>
        </w:rPr>
        <w:tab/>
        <w:t xml:space="preserve">В.В. </w:t>
      </w:r>
      <w:proofErr w:type="spellStart"/>
      <w:r w:rsidRPr="0042294B">
        <w:rPr>
          <w:rFonts w:ascii="Times New Roman" w:eastAsia="Times New Roman" w:hAnsi="Times New Roman"/>
          <w:b/>
          <w:color w:val="000000" w:themeColor="text1"/>
          <w:sz w:val="28"/>
          <w:szCs w:val="28"/>
          <w:lang w:eastAsia="ru-RU"/>
        </w:rPr>
        <w:t>Шапран</w:t>
      </w:r>
      <w:proofErr w:type="spellEnd"/>
    </w:p>
    <w:p w:rsidR="005D64E0" w:rsidRPr="004B7746" w:rsidRDefault="00B826B7" w:rsidP="00BC0BE3">
      <w:pPr>
        <w:tabs>
          <w:tab w:val="left" w:pos="6946"/>
        </w:tabs>
        <w:spacing w:after="0" w:line="480" w:lineRule="auto"/>
        <w:rPr>
          <w:color w:val="000000" w:themeColor="text1"/>
        </w:rPr>
      </w:pPr>
      <w:r w:rsidRPr="0042294B">
        <w:rPr>
          <w:rFonts w:ascii="Times New Roman" w:eastAsia="Times New Roman" w:hAnsi="Times New Roman"/>
          <w:b/>
          <w:color w:val="000000" w:themeColor="text1"/>
          <w:sz w:val="28"/>
          <w:szCs w:val="28"/>
          <w:lang w:eastAsia="ru-RU"/>
        </w:rPr>
        <w:tab/>
        <w:t>С.Б. Шелест</w:t>
      </w:r>
    </w:p>
    <w:sectPr w:rsidR="005D64E0" w:rsidRPr="004B7746" w:rsidSect="00BC0BE3">
      <w:headerReference w:type="default" r:id="rId14"/>
      <w:pgSz w:w="11906" w:h="16838"/>
      <w:pgMar w:top="1134" w:right="851" w:bottom="1134" w:left="1559" w:header="567"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7CA" w:rsidRDefault="00EA77CA" w:rsidP="002D352A">
      <w:pPr>
        <w:spacing w:after="0" w:line="240" w:lineRule="auto"/>
      </w:pPr>
      <w:r>
        <w:separator/>
      </w:r>
    </w:p>
  </w:endnote>
  <w:endnote w:type="continuationSeparator" w:id="0">
    <w:p w:rsidR="00EA77CA" w:rsidRDefault="00EA77CA" w:rsidP="002D35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7CA" w:rsidRDefault="00EA77CA" w:rsidP="002D352A">
      <w:pPr>
        <w:spacing w:after="0" w:line="240" w:lineRule="auto"/>
      </w:pPr>
      <w:r>
        <w:separator/>
      </w:r>
    </w:p>
  </w:footnote>
  <w:footnote w:type="continuationSeparator" w:id="0">
    <w:p w:rsidR="00EA77CA" w:rsidRDefault="00EA77CA" w:rsidP="002D35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19A" w:rsidRPr="00C206DE" w:rsidRDefault="00CD057B" w:rsidP="00C1519A">
    <w:pPr>
      <w:pStyle w:val="a4"/>
      <w:spacing w:before="120" w:after="120"/>
      <w:jc w:val="center"/>
      <w:rPr>
        <w:rFonts w:ascii="Times New Roman" w:hAnsi="Times New Roman"/>
        <w:sz w:val="28"/>
        <w:szCs w:val="28"/>
      </w:rPr>
    </w:pPr>
    <w:r w:rsidRPr="00C206DE">
      <w:rPr>
        <w:rFonts w:ascii="Times New Roman" w:hAnsi="Times New Roman"/>
        <w:sz w:val="28"/>
        <w:szCs w:val="28"/>
      </w:rPr>
      <w:fldChar w:fldCharType="begin"/>
    </w:r>
    <w:r w:rsidR="00D27616" w:rsidRPr="00C206DE">
      <w:rPr>
        <w:rFonts w:ascii="Times New Roman" w:hAnsi="Times New Roman"/>
        <w:sz w:val="28"/>
        <w:szCs w:val="28"/>
      </w:rPr>
      <w:instrText xml:space="preserve"> PAGE   \* MERGEFORMAT </w:instrText>
    </w:r>
    <w:r w:rsidRPr="00C206DE">
      <w:rPr>
        <w:rFonts w:ascii="Times New Roman" w:hAnsi="Times New Roman"/>
        <w:sz w:val="28"/>
        <w:szCs w:val="28"/>
      </w:rPr>
      <w:fldChar w:fldCharType="separate"/>
    </w:r>
    <w:r w:rsidR="00760D9E">
      <w:rPr>
        <w:rFonts w:ascii="Times New Roman" w:hAnsi="Times New Roman"/>
        <w:noProof/>
        <w:sz w:val="28"/>
        <w:szCs w:val="28"/>
      </w:rPr>
      <w:t>2</w:t>
    </w:r>
    <w:r w:rsidRPr="00C206DE">
      <w:rPr>
        <w:rFonts w:ascii="Times New Roman" w:hAnsi="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B826B7"/>
    <w:rsid w:val="0003033E"/>
    <w:rsid w:val="00045871"/>
    <w:rsid w:val="0007150D"/>
    <w:rsid w:val="0009263C"/>
    <w:rsid w:val="00104607"/>
    <w:rsid w:val="0011194C"/>
    <w:rsid w:val="00126865"/>
    <w:rsid w:val="001B3F45"/>
    <w:rsid w:val="001C120E"/>
    <w:rsid w:val="001D068B"/>
    <w:rsid w:val="002141FA"/>
    <w:rsid w:val="00242CC1"/>
    <w:rsid w:val="002509DE"/>
    <w:rsid w:val="0029504C"/>
    <w:rsid w:val="002A00FF"/>
    <w:rsid w:val="002D352A"/>
    <w:rsid w:val="002D435F"/>
    <w:rsid w:val="00301C0E"/>
    <w:rsid w:val="003034B8"/>
    <w:rsid w:val="00322DBB"/>
    <w:rsid w:val="0037000D"/>
    <w:rsid w:val="003A3DFF"/>
    <w:rsid w:val="003C2C4A"/>
    <w:rsid w:val="003D72E9"/>
    <w:rsid w:val="00406CD5"/>
    <w:rsid w:val="0042294B"/>
    <w:rsid w:val="00424CDD"/>
    <w:rsid w:val="00452C0E"/>
    <w:rsid w:val="004634AE"/>
    <w:rsid w:val="0047665B"/>
    <w:rsid w:val="004B7746"/>
    <w:rsid w:val="0052657A"/>
    <w:rsid w:val="0055013F"/>
    <w:rsid w:val="00563966"/>
    <w:rsid w:val="005D64E0"/>
    <w:rsid w:val="00661B26"/>
    <w:rsid w:val="00677EA3"/>
    <w:rsid w:val="006A2CB0"/>
    <w:rsid w:val="006B798F"/>
    <w:rsid w:val="006C4F9D"/>
    <w:rsid w:val="006C7CEC"/>
    <w:rsid w:val="006D4477"/>
    <w:rsid w:val="00712C07"/>
    <w:rsid w:val="00720E4B"/>
    <w:rsid w:val="00731CC9"/>
    <w:rsid w:val="00760D9E"/>
    <w:rsid w:val="0076384B"/>
    <w:rsid w:val="007E3840"/>
    <w:rsid w:val="00812D9B"/>
    <w:rsid w:val="008274E0"/>
    <w:rsid w:val="00840F8A"/>
    <w:rsid w:val="00841A3B"/>
    <w:rsid w:val="0085558B"/>
    <w:rsid w:val="00884896"/>
    <w:rsid w:val="00895B57"/>
    <w:rsid w:val="00923C6A"/>
    <w:rsid w:val="00927F63"/>
    <w:rsid w:val="009646CC"/>
    <w:rsid w:val="009679EC"/>
    <w:rsid w:val="00984574"/>
    <w:rsid w:val="00990939"/>
    <w:rsid w:val="009965FA"/>
    <w:rsid w:val="009A77CD"/>
    <w:rsid w:val="009C1794"/>
    <w:rsid w:val="009C4C4B"/>
    <w:rsid w:val="009E466C"/>
    <w:rsid w:val="009E519B"/>
    <w:rsid w:val="00A33067"/>
    <w:rsid w:val="00A44D93"/>
    <w:rsid w:val="00AD037D"/>
    <w:rsid w:val="00AF15EF"/>
    <w:rsid w:val="00B013EE"/>
    <w:rsid w:val="00B12375"/>
    <w:rsid w:val="00B261AC"/>
    <w:rsid w:val="00B26883"/>
    <w:rsid w:val="00B44A4E"/>
    <w:rsid w:val="00B53F69"/>
    <w:rsid w:val="00B64047"/>
    <w:rsid w:val="00B73D6E"/>
    <w:rsid w:val="00B76276"/>
    <w:rsid w:val="00B826B7"/>
    <w:rsid w:val="00BB61C3"/>
    <w:rsid w:val="00BC0BE3"/>
    <w:rsid w:val="00CB5474"/>
    <w:rsid w:val="00CD057B"/>
    <w:rsid w:val="00CE04BC"/>
    <w:rsid w:val="00CF4D76"/>
    <w:rsid w:val="00CF59F1"/>
    <w:rsid w:val="00D072E8"/>
    <w:rsid w:val="00D17F3D"/>
    <w:rsid w:val="00D27616"/>
    <w:rsid w:val="00D404D7"/>
    <w:rsid w:val="00D81BAF"/>
    <w:rsid w:val="00DE7C49"/>
    <w:rsid w:val="00E018C7"/>
    <w:rsid w:val="00E1123B"/>
    <w:rsid w:val="00E45F5D"/>
    <w:rsid w:val="00EA4E6D"/>
    <w:rsid w:val="00EA6050"/>
    <w:rsid w:val="00EA77CA"/>
    <w:rsid w:val="00EB0017"/>
    <w:rsid w:val="00ED070A"/>
    <w:rsid w:val="00ED636D"/>
    <w:rsid w:val="00F2127E"/>
    <w:rsid w:val="00F7642C"/>
    <w:rsid w:val="00FA24C3"/>
    <w:rsid w:val="00FB21A8"/>
    <w:rsid w:val="00FD2F57"/>
    <w:rsid w:val="00FD48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6B7"/>
    <w:rPr>
      <w:rFonts w:ascii="Calibri" w:eastAsia="Calibri" w:hAnsi="Calibri"/>
      <w:kern w:val="0"/>
    </w:rPr>
  </w:style>
  <w:style w:type="paragraph" w:styleId="3">
    <w:name w:val="heading 3"/>
    <w:basedOn w:val="a"/>
    <w:link w:val="30"/>
    <w:uiPriority w:val="9"/>
    <w:qFormat/>
    <w:rsid w:val="00F2127E"/>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26B7"/>
    <w:pPr>
      <w:spacing w:after="0" w:line="240" w:lineRule="auto"/>
    </w:pPr>
    <w:rPr>
      <w:rFonts w:ascii="Calibri" w:eastAsia="Calibri" w:hAnsi="Calibri"/>
      <w:kern w:val="0"/>
    </w:rPr>
  </w:style>
  <w:style w:type="paragraph" w:styleId="a4">
    <w:name w:val="header"/>
    <w:basedOn w:val="a"/>
    <w:link w:val="a5"/>
    <w:uiPriority w:val="99"/>
    <w:unhideWhenUsed/>
    <w:rsid w:val="00B826B7"/>
    <w:pPr>
      <w:tabs>
        <w:tab w:val="center" w:pos="4677"/>
        <w:tab w:val="right" w:pos="9355"/>
      </w:tabs>
    </w:pPr>
  </w:style>
  <w:style w:type="character" w:customStyle="1" w:styleId="a5">
    <w:name w:val="Верхний колонтитул Знак"/>
    <w:basedOn w:val="a0"/>
    <w:link w:val="a4"/>
    <w:uiPriority w:val="99"/>
    <w:rsid w:val="00B826B7"/>
    <w:rPr>
      <w:rFonts w:ascii="Calibri" w:eastAsia="Calibri" w:hAnsi="Calibri"/>
      <w:kern w:val="0"/>
    </w:rPr>
  </w:style>
  <w:style w:type="paragraph" w:styleId="HTML">
    <w:name w:val="HTML Preformatted"/>
    <w:basedOn w:val="a"/>
    <w:link w:val="HTML0"/>
    <w:uiPriority w:val="99"/>
    <w:unhideWhenUsed/>
    <w:rsid w:val="00B8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826B7"/>
    <w:rPr>
      <w:rFonts w:ascii="Courier New" w:eastAsia="Times New Roman" w:hAnsi="Courier New" w:cs="Courier New"/>
      <w:kern w:val="0"/>
      <w:sz w:val="20"/>
      <w:szCs w:val="20"/>
      <w:lang w:eastAsia="ru-RU"/>
    </w:rPr>
  </w:style>
  <w:style w:type="character" w:styleId="a6">
    <w:name w:val="Hyperlink"/>
    <w:uiPriority w:val="99"/>
    <w:unhideWhenUsed/>
    <w:rsid w:val="00B826B7"/>
    <w:rPr>
      <w:color w:val="0000FF"/>
      <w:u w:val="single"/>
    </w:rPr>
  </w:style>
  <w:style w:type="character" w:customStyle="1" w:styleId="2">
    <w:name w:val="Основной текст (2)_"/>
    <w:link w:val="20"/>
    <w:locked/>
    <w:rsid w:val="00B826B7"/>
    <w:rPr>
      <w:b/>
      <w:bCs/>
      <w:sz w:val="26"/>
      <w:szCs w:val="26"/>
      <w:shd w:val="clear" w:color="auto" w:fill="FFFFFF"/>
    </w:rPr>
  </w:style>
  <w:style w:type="paragraph" w:customStyle="1" w:styleId="20">
    <w:name w:val="Основной текст (2)"/>
    <w:basedOn w:val="a"/>
    <w:link w:val="2"/>
    <w:rsid w:val="00B826B7"/>
    <w:pPr>
      <w:widowControl w:val="0"/>
      <w:shd w:val="clear" w:color="auto" w:fill="FFFFFF"/>
      <w:autoSpaceDN w:val="0"/>
      <w:spacing w:after="1020" w:line="240" w:lineRule="atLeast"/>
      <w:jc w:val="center"/>
    </w:pPr>
    <w:rPr>
      <w:rFonts w:asciiTheme="minorHAnsi" w:eastAsiaTheme="minorHAnsi" w:hAnsiTheme="minorHAnsi"/>
      <w:b/>
      <w:bCs/>
      <w:kern w:val="2"/>
      <w:sz w:val="26"/>
      <w:szCs w:val="26"/>
    </w:rPr>
  </w:style>
  <w:style w:type="paragraph" w:customStyle="1" w:styleId="Default">
    <w:name w:val="Default"/>
    <w:rsid w:val="00B826B7"/>
    <w:pPr>
      <w:autoSpaceDE w:val="0"/>
      <w:autoSpaceDN w:val="0"/>
      <w:adjustRightInd w:val="0"/>
      <w:spacing w:after="0" w:line="240" w:lineRule="auto"/>
    </w:pPr>
    <w:rPr>
      <w:rFonts w:ascii="Times New Roman" w:eastAsia="Calibri" w:hAnsi="Times New Roman"/>
      <w:color w:val="000000"/>
      <w:kern w:val="0"/>
      <w:sz w:val="24"/>
      <w:szCs w:val="24"/>
      <w:lang w:val="ru-RU"/>
    </w:rPr>
  </w:style>
  <w:style w:type="character" w:customStyle="1" w:styleId="rvts0">
    <w:name w:val="rvts0"/>
    <w:basedOn w:val="a0"/>
    <w:rsid w:val="00B826B7"/>
    <w:rPr>
      <w:rFonts w:cs="Times New Roman"/>
    </w:rPr>
  </w:style>
  <w:style w:type="character" w:customStyle="1" w:styleId="rvts9">
    <w:name w:val="rvts9"/>
    <w:basedOn w:val="a0"/>
    <w:rsid w:val="00B826B7"/>
  </w:style>
  <w:style w:type="character" w:customStyle="1" w:styleId="rvts23">
    <w:name w:val="rvts23"/>
    <w:basedOn w:val="a0"/>
    <w:rsid w:val="00B826B7"/>
  </w:style>
  <w:style w:type="paragraph" w:styleId="a7">
    <w:name w:val="Normal (Web)"/>
    <w:basedOn w:val="a"/>
    <w:uiPriority w:val="99"/>
    <w:unhideWhenUsed/>
    <w:rsid w:val="00B826B7"/>
    <w:pPr>
      <w:spacing w:before="100" w:beforeAutospacing="1" w:after="100" w:afterAutospacing="1" w:line="240" w:lineRule="auto"/>
    </w:pPr>
    <w:rPr>
      <w:rFonts w:ascii="Times New Roman" w:eastAsia="Times New Roman" w:hAnsi="Times New Roman"/>
      <w:sz w:val="24"/>
      <w:szCs w:val="24"/>
      <w:lang w:eastAsia="uk-UA"/>
    </w:rPr>
  </w:style>
  <w:style w:type="paragraph" w:styleId="a8">
    <w:name w:val="footer"/>
    <w:basedOn w:val="a"/>
    <w:link w:val="a9"/>
    <w:uiPriority w:val="99"/>
    <w:semiHidden/>
    <w:unhideWhenUsed/>
    <w:rsid w:val="00B826B7"/>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826B7"/>
    <w:rPr>
      <w:rFonts w:ascii="Calibri" w:eastAsia="Calibri" w:hAnsi="Calibri"/>
      <w:kern w:val="0"/>
    </w:rPr>
  </w:style>
  <w:style w:type="character" w:styleId="aa">
    <w:name w:val="Strong"/>
    <w:basedOn w:val="a0"/>
    <w:uiPriority w:val="22"/>
    <w:qFormat/>
    <w:rsid w:val="00B826B7"/>
    <w:rPr>
      <w:b/>
      <w:bCs/>
    </w:rPr>
  </w:style>
  <w:style w:type="character" w:customStyle="1" w:styleId="rvts30">
    <w:name w:val="rvts30"/>
    <w:basedOn w:val="a0"/>
    <w:rsid w:val="00B826B7"/>
  </w:style>
  <w:style w:type="paragraph" w:customStyle="1" w:styleId="rvps2">
    <w:name w:val="rvps2"/>
    <w:basedOn w:val="a"/>
    <w:rsid w:val="00B826B7"/>
    <w:pPr>
      <w:spacing w:before="100" w:beforeAutospacing="1" w:after="100" w:afterAutospacing="1" w:line="240" w:lineRule="auto"/>
    </w:pPr>
    <w:rPr>
      <w:rFonts w:ascii="Times New Roman" w:eastAsia="Times New Roman" w:hAnsi="Times New Roman"/>
      <w:sz w:val="24"/>
      <w:szCs w:val="24"/>
      <w:lang w:eastAsia="uk-UA"/>
    </w:rPr>
  </w:style>
  <w:style w:type="paragraph" w:styleId="ab">
    <w:name w:val="Balloon Text"/>
    <w:basedOn w:val="a"/>
    <w:link w:val="ac"/>
    <w:uiPriority w:val="99"/>
    <w:semiHidden/>
    <w:unhideWhenUsed/>
    <w:rsid w:val="00B826B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826B7"/>
    <w:rPr>
      <w:rFonts w:ascii="Tahoma" w:eastAsia="Calibri" w:hAnsi="Tahoma" w:cs="Tahoma"/>
      <w:kern w:val="0"/>
      <w:sz w:val="16"/>
      <w:szCs w:val="16"/>
    </w:rPr>
  </w:style>
  <w:style w:type="paragraph" w:customStyle="1" w:styleId="rvps8">
    <w:name w:val="rvps8"/>
    <w:basedOn w:val="a"/>
    <w:rsid w:val="00B013E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B013EE"/>
  </w:style>
  <w:style w:type="character" w:customStyle="1" w:styleId="fs3">
    <w:name w:val="fs3"/>
    <w:basedOn w:val="a0"/>
    <w:rsid w:val="009646CC"/>
  </w:style>
  <w:style w:type="paragraph" w:customStyle="1" w:styleId="rvps5">
    <w:name w:val="rvps5"/>
    <w:basedOn w:val="a"/>
    <w:rsid w:val="009C4C4B"/>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9C4C4B"/>
  </w:style>
  <w:style w:type="character" w:customStyle="1" w:styleId="30">
    <w:name w:val="Заголовок 3 Знак"/>
    <w:basedOn w:val="a0"/>
    <w:link w:val="3"/>
    <w:uiPriority w:val="9"/>
    <w:rsid w:val="00F2127E"/>
    <w:rPr>
      <w:rFonts w:ascii="Times New Roman" w:eastAsia="Times New Roman" w:hAnsi="Times New Roman"/>
      <w:b/>
      <w:bCs/>
      <w:kern w:val="0"/>
      <w:sz w:val="27"/>
      <w:szCs w:val="27"/>
      <w:lang w:eastAsia="uk-UA"/>
    </w:rPr>
  </w:style>
  <w:style w:type="paragraph" w:customStyle="1" w:styleId="tj">
    <w:name w:val="tj"/>
    <w:basedOn w:val="a"/>
    <w:rsid w:val="00F2127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tejustify">
    <w:name w:val="rtejustify"/>
    <w:basedOn w:val="a"/>
    <w:rsid w:val="00895B57"/>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1465379">
      <w:bodyDiv w:val="1"/>
      <w:marLeft w:val="0"/>
      <w:marRight w:val="0"/>
      <w:marTop w:val="0"/>
      <w:marBottom w:val="0"/>
      <w:divBdr>
        <w:top w:val="none" w:sz="0" w:space="0" w:color="auto"/>
        <w:left w:val="none" w:sz="0" w:space="0" w:color="auto"/>
        <w:bottom w:val="none" w:sz="0" w:space="0" w:color="auto"/>
        <w:right w:val="none" w:sz="0" w:space="0" w:color="auto"/>
      </w:divBdr>
    </w:div>
    <w:div w:id="1300962282">
      <w:bodyDiv w:val="1"/>
      <w:marLeft w:val="0"/>
      <w:marRight w:val="0"/>
      <w:marTop w:val="0"/>
      <w:marBottom w:val="0"/>
      <w:divBdr>
        <w:top w:val="none" w:sz="0" w:space="0" w:color="auto"/>
        <w:left w:val="none" w:sz="0" w:space="0" w:color="auto"/>
        <w:bottom w:val="none" w:sz="0" w:space="0" w:color="auto"/>
        <w:right w:val="none" w:sz="0" w:space="0" w:color="auto"/>
      </w:divBdr>
    </w:div>
    <w:div w:id="1706563182">
      <w:bodyDiv w:val="1"/>
      <w:marLeft w:val="0"/>
      <w:marRight w:val="0"/>
      <w:marTop w:val="0"/>
      <w:marBottom w:val="0"/>
      <w:divBdr>
        <w:top w:val="none" w:sz="0" w:space="0" w:color="auto"/>
        <w:left w:val="none" w:sz="0" w:space="0" w:color="auto"/>
        <w:bottom w:val="none" w:sz="0" w:space="0" w:color="auto"/>
        <w:right w:val="none" w:sz="0" w:space="0" w:color="auto"/>
      </w:divBdr>
      <w:divsChild>
        <w:div w:id="1397556421">
          <w:marLeft w:val="0"/>
          <w:marRight w:val="0"/>
          <w:marTop w:val="0"/>
          <w:marBottom w:val="0"/>
          <w:divBdr>
            <w:top w:val="none" w:sz="0" w:space="0" w:color="auto"/>
            <w:left w:val="none" w:sz="0" w:space="0" w:color="auto"/>
            <w:bottom w:val="none" w:sz="0" w:space="0" w:color="auto"/>
            <w:right w:val="none" w:sz="0" w:space="0" w:color="auto"/>
          </w:divBdr>
        </w:div>
        <w:div w:id="219365835">
          <w:marLeft w:val="0"/>
          <w:marRight w:val="0"/>
          <w:marTop w:val="0"/>
          <w:marBottom w:val="0"/>
          <w:divBdr>
            <w:top w:val="none" w:sz="0" w:space="0" w:color="auto"/>
            <w:left w:val="none" w:sz="0" w:space="0" w:color="auto"/>
            <w:bottom w:val="none" w:sz="0" w:space="0" w:color="auto"/>
            <w:right w:val="none" w:sz="0" w:space="0" w:color="auto"/>
          </w:divBdr>
        </w:div>
        <w:div w:id="486167874">
          <w:marLeft w:val="0"/>
          <w:marRight w:val="0"/>
          <w:marTop w:val="0"/>
          <w:marBottom w:val="0"/>
          <w:divBdr>
            <w:top w:val="none" w:sz="0" w:space="0" w:color="auto"/>
            <w:left w:val="none" w:sz="0" w:space="0" w:color="auto"/>
            <w:bottom w:val="none" w:sz="0" w:space="0" w:color="auto"/>
            <w:right w:val="none" w:sz="0" w:space="0" w:color="auto"/>
          </w:divBdr>
        </w:div>
      </w:divsChild>
    </w:div>
    <w:div w:id="21143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3253/ed_2018_03_07/pravo1/T030435.html?pravo=1" TargetMode="External"/><Relationship Id="rId13" Type="http://schemas.openxmlformats.org/officeDocument/2006/relationships/hyperlink" Target="http://search.ligazakon.ua/l_doc2.nsf/link1/an_1136/ed_2020_01_01/pravo1/T161402.html?pravo=1" TargetMode="External"/><Relationship Id="rId3" Type="http://schemas.openxmlformats.org/officeDocument/2006/relationships/webSettings" Target="webSettings.xml"/><Relationship Id="rId7" Type="http://schemas.openxmlformats.org/officeDocument/2006/relationships/hyperlink" Target="http://search.ligazakon.ua/l_doc2.nsf/link1/ed_2018_03_07/pravo1/T002121.html?pravo=1" TargetMode="External"/><Relationship Id="rId12" Type="http://schemas.openxmlformats.org/officeDocument/2006/relationships/hyperlink" Target="http://zakon.rada.gov.ua/laws/show/1618-15/prin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ed_2018_03_07/pravo1/T002121.html?pravo=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earch.ligazakon.ua/l_doc2.nsf/link1/an_437/ed_2018_02_06/pravo1/T124452.html?pravo=1" TargetMode="External"/><Relationship Id="rId4" Type="http://schemas.openxmlformats.org/officeDocument/2006/relationships/footnotes" Target="footnotes.xml"/><Relationship Id="rId9" Type="http://schemas.openxmlformats.org/officeDocument/2006/relationships/hyperlink" Target="http://search.ligazakon.ua/l_doc2.nsf/link1/an_437/ed_2018_02_06/pravo1/T124452.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21</Pages>
  <Words>37929</Words>
  <Characters>21620</Characters>
  <Application>Microsoft Office Word</Application>
  <DocSecurity>0</DocSecurity>
  <Lines>180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59431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Якусик (VRU-MONO0202 - o.yakusyk)</dc:creator>
  <cp:lastModifiedBy>Олександр Якусик (VRU-MONO0202 - o.yakusyk)</cp:lastModifiedBy>
  <cp:revision>20</cp:revision>
  <cp:lastPrinted>2020-07-16T12:13:00Z</cp:lastPrinted>
  <dcterms:created xsi:type="dcterms:W3CDTF">2020-07-07T12:37:00Z</dcterms:created>
  <dcterms:modified xsi:type="dcterms:W3CDTF">2020-07-16T13:34:00Z</dcterms:modified>
</cp:coreProperties>
</file>