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854" w:rsidRDefault="00754854" w:rsidP="00754854"/>
    <w:p w:rsidR="00754854" w:rsidRDefault="00754854" w:rsidP="00754854"/>
    <w:p w:rsidR="00754854" w:rsidRPr="00B918B5" w:rsidRDefault="00754854" w:rsidP="00754854">
      <w:pPr>
        <w:pBdr>
          <w:top w:val="nil"/>
          <w:left w:val="nil"/>
          <w:bottom w:val="nil"/>
          <w:right w:val="nil"/>
          <w:between w:val="nil"/>
        </w:pBdr>
        <w:rPr>
          <w:color w:val="000000"/>
          <w:lang w:val="uk-UA"/>
        </w:rPr>
      </w:pPr>
    </w:p>
    <w:p w:rsidR="00754854" w:rsidRPr="00B918B5" w:rsidRDefault="00754854" w:rsidP="00754854">
      <w:pPr>
        <w:pBdr>
          <w:top w:val="nil"/>
          <w:left w:val="nil"/>
          <w:bottom w:val="nil"/>
          <w:right w:val="nil"/>
          <w:between w:val="nil"/>
        </w:pBdr>
        <w:rPr>
          <w:color w:val="000000"/>
          <w:lang w:val="uk-UA"/>
        </w:rPr>
      </w:pPr>
    </w:p>
    <w:p w:rsidR="00754854" w:rsidRPr="008E397B" w:rsidRDefault="00754854" w:rsidP="00754854">
      <w:pPr>
        <w:spacing w:before="360" w:after="60"/>
        <w:jc w:val="center"/>
        <w:rPr>
          <w:rFonts w:ascii="AcademyC" w:eastAsia="Calibri" w:hAnsi="AcademyC" w:cs="Calibri"/>
          <w:b/>
          <w:color w:val="002060"/>
          <w:sz w:val="22"/>
          <w:szCs w:val="22"/>
          <w:lang w:val="uk-UA" w:eastAsia="en-US"/>
        </w:rPr>
      </w:pPr>
      <w:r w:rsidRPr="008E397B">
        <w:rPr>
          <w:noProof/>
          <w:sz w:val="22"/>
          <w:szCs w:val="22"/>
          <w:lang w:val="uk-UA" w:eastAsia="uk-UA"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E397B">
        <w:rPr>
          <w:rFonts w:ascii="AcademyC" w:eastAsia="Calibri" w:hAnsi="AcademyC" w:cs="Calibri"/>
          <w:b/>
          <w:color w:val="002060"/>
          <w:sz w:val="22"/>
          <w:szCs w:val="22"/>
          <w:lang w:val="uk-UA" w:eastAsia="en-US"/>
        </w:rPr>
        <w:t>УКРАЇНА</w:t>
      </w:r>
    </w:p>
    <w:p w:rsidR="00754854" w:rsidRPr="00B918B5" w:rsidRDefault="00754854" w:rsidP="00754854">
      <w:pPr>
        <w:spacing w:after="6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ВИЩА  РАДА  ПРАВОСУДДЯ</w:t>
      </w:r>
    </w:p>
    <w:p w:rsidR="00754854" w:rsidRPr="00B918B5" w:rsidRDefault="00754854" w:rsidP="00754854">
      <w:pPr>
        <w:spacing w:after="24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754854" w:rsidRPr="00B918B5" w:rsidTr="002B25C5">
        <w:trPr>
          <w:trHeight w:val="188"/>
        </w:trPr>
        <w:tc>
          <w:tcPr>
            <w:tcW w:w="3369" w:type="dxa"/>
            <w:hideMark/>
          </w:tcPr>
          <w:p w:rsidR="00754854" w:rsidRPr="00B918B5" w:rsidRDefault="00754854" w:rsidP="002B25C5">
            <w:pPr>
              <w:spacing w:after="200"/>
              <w:ind w:right="-2"/>
              <w:rPr>
                <w:rFonts w:ascii="Times New Roman" w:eastAsia="Calibri" w:hAnsi="Times New Roman" w:cs="Calibri"/>
                <w:b/>
                <w:noProof/>
                <w:color w:val="000000"/>
                <w:sz w:val="27"/>
                <w:szCs w:val="27"/>
                <w:lang w:val="uk-UA" w:eastAsia="en-US"/>
              </w:rPr>
            </w:pPr>
          </w:p>
          <w:p w:rsidR="00754854" w:rsidRPr="00B918B5" w:rsidRDefault="00754854" w:rsidP="002B25C5">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uk-UA" w:eastAsia="en-US"/>
              </w:rPr>
              <w:t>14 липня</w:t>
            </w:r>
            <w:r w:rsidRPr="00B918B5">
              <w:rPr>
                <w:rFonts w:ascii="Times New Roman" w:eastAsia="Calibri" w:hAnsi="Times New Roman" w:cs="Calibri"/>
                <w:b/>
                <w:noProof/>
                <w:color w:val="000000"/>
                <w:sz w:val="27"/>
                <w:szCs w:val="27"/>
                <w:lang w:val="uk-UA" w:eastAsia="en-US"/>
              </w:rPr>
              <w:t xml:space="preserve"> 2020 року </w:t>
            </w:r>
          </w:p>
        </w:tc>
        <w:tc>
          <w:tcPr>
            <w:tcW w:w="3543" w:type="dxa"/>
            <w:hideMark/>
          </w:tcPr>
          <w:p w:rsidR="00754854" w:rsidRPr="00B918B5" w:rsidRDefault="00754854" w:rsidP="002B25C5">
            <w:pPr>
              <w:spacing w:after="200"/>
              <w:ind w:right="-2" w:hanging="109"/>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Pr="00B918B5">
              <w:rPr>
                <w:rFonts w:ascii="Times New Roman" w:eastAsia="Calibri" w:hAnsi="Times New Roman" w:cs="Calibri"/>
                <w:b/>
                <w:color w:val="000000"/>
                <w:sz w:val="27"/>
                <w:szCs w:val="27"/>
                <w:lang w:val="uk-UA" w:eastAsia="en-US"/>
              </w:rPr>
              <w:t>Київ</w:t>
            </w:r>
          </w:p>
        </w:tc>
        <w:tc>
          <w:tcPr>
            <w:tcW w:w="5760" w:type="dxa"/>
            <w:hideMark/>
          </w:tcPr>
          <w:p w:rsidR="00754854" w:rsidRPr="00B918B5" w:rsidRDefault="00754854" w:rsidP="002B25C5">
            <w:pPr>
              <w:spacing w:after="200"/>
              <w:ind w:left="459" w:right="-2"/>
              <w:rPr>
                <w:rFonts w:ascii="Times New Roman" w:eastAsia="Calibri" w:hAnsi="Times New Roman" w:cs="Calibri"/>
                <w:b/>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p>
          <w:p w:rsidR="00754854" w:rsidRPr="00B918B5" w:rsidRDefault="00754854" w:rsidP="002B25C5">
            <w:pPr>
              <w:spacing w:after="200"/>
              <w:ind w:left="459" w:right="-2"/>
              <w:rPr>
                <w:rFonts w:ascii="Times New Roman" w:eastAsia="Calibri" w:hAnsi="Times New Roman" w:cs="Calibri"/>
                <w:b/>
                <w:noProof/>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r>
              <w:rPr>
                <w:rFonts w:ascii="Times New Roman" w:eastAsia="Calibri" w:hAnsi="Times New Roman" w:cs="Calibri"/>
                <w:b/>
                <w:color w:val="000000"/>
                <w:sz w:val="27"/>
                <w:szCs w:val="27"/>
                <w:lang w:val="uk-UA" w:eastAsia="en-US"/>
              </w:rPr>
              <w:t>№ 2128</w:t>
            </w:r>
            <w:r w:rsidRPr="00B918B5">
              <w:rPr>
                <w:rFonts w:ascii="Times New Roman" w:eastAsia="Calibri" w:hAnsi="Times New Roman" w:cs="Calibri"/>
                <w:b/>
                <w:sz w:val="28"/>
                <w:szCs w:val="28"/>
                <w:lang w:val="uk-UA" w:eastAsia="en-US"/>
              </w:rPr>
              <w:t>/0/15-20</w:t>
            </w:r>
            <w:r w:rsidRPr="00B918B5">
              <w:rPr>
                <w:rFonts w:ascii="Times New Roman" w:eastAsia="Calibri" w:hAnsi="Times New Roman" w:cs="Calibri"/>
                <w:sz w:val="28"/>
                <w:szCs w:val="28"/>
                <w:lang w:val="uk-UA" w:eastAsia="en-US"/>
              </w:rPr>
              <w:t xml:space="preserve">  </w:t>
            </w:r>
          </w:p>
        </w:tc>
      </w:tr>
    </w:tbl>
    <w:p w:rsidR="008D286A" w:rsidRPr="008D286A" w:rsidRDefault="008D286A" w:rsidP="008D286A">
      <w:pPr>
        <w:rPr>
          <w:rFonts w:ascii="Times New Roman" w:hAnsi="Times New Roman" w:cs="Times New Roman"/>
        </w:rPr>
      </w:pPr>
    </w:p>
    <w:tbl>
      <w:tblPr>
        <w:tblW w:w="8721" w:type="dxa"/>
        <w:tblLayout w:type="fixed"/>
        <w:tblLook w:val="0000"/>
      </w:tblPr>
      <w:tblGrid>
        <w:gridCol w:w="4644"/>
        <w:gridCol w:w="4077"/>
      </w:tblGrid>
      <w:tr w:rsidR="008D286A" w:rsidRPr="008D286A" w:rsidTr="002B25C5">
        <w:tc>
          <w:tcPr>
            <w:tcW w:w="4644" w:type="dxa"/>
          </w:tcPr>
          <w:p w:rsidR="008D286A" w:rsidRPr="008D286A" w:rsidRDefault="008D286A" w:rsidP="002B25C5">
            <w:pPr>
              <w:ind w:right="-253"/>
              <w:rPr>
                <w:rFonts w:ascii="Times New Roman" w:eastAsia="Times New Roman" w:hAnsi="Times New Roman" w:cs="Times New Roman"/>
                <w:sz w:val="24"/>
              </w:rPr>
            </w:pPr>
          </w:p>
          <w:p w:rsidR="008D286A" w:rsidRPr="008D286A" w:rsidRDefault="008D286A" w:rsidP="002B25C5">
            <w:pPr>
              <w:ind w:right="-253"/>
              <w:rPr>
                <w:rFonts w:ascii="Times New Roman" w:eastAsia="Times New Roman" w:hAnsi="Times New Roman" w:cs="Times New Roman"/>
                <w:sz w:val="24"/>
              </w:rPr>
            </w:pPr>
            <w:r w:rsidRPr="008D286A">
              <w:rPr>
                <w:rFonts w:ascii="Times New Roman" w:hAnsi="Times New Roman" w:cs="Times New Roman"/>
                <w:b/>
                <w:sz w:val="24"/>
              </w:rPr>
              <w:t>Про надання консультативного висновку  до законопроєкту № 3711-2</w:t>
            </w:r>
          </w:p>
        </w:tc>
        <w:tc>
          <w:tcPr>
            <w:tcW w:w="4077" w:type="dxa"/>
          </w:tcPr>
          <w:p w:rsidR="008D286A" w:rsidRPr="008D286A" w:rsidRDefault="008D286A" w:rsidP="002B25C5">
            <w:pPr>
              <w:ind w:left="-675" w:firstLine="851"/>
              <w:jc w:val="both"/>
              <w:rPr>
                <w:rFonts w:ascii="Times New Roman" w:eastAsia="Times New Roman" w:hAnsi="Times New Roman" w:cs="Times New Roman"/>
                <w:sz w:val="24"/>
              </w:rPr>
            </w:pPr>
          </w:p>
        </w:tc>
      </w:tr>
    </w:tbl>
    <w:p w:rsidR="008D286A" w:rsidRPr="008D286A" w:rsidRDefault="008D286A" w:rsidP="008D286A">
      <w:pPr>
        <w:pStyle w:val="a3"/>
        <w:spacing w:after="0" w:line="240" w:lineRule="auto"/>
        <w:ind w:left="0" w:firstLine="567"/>
        <w:jc w:val="both"/>
        <w:rPr>
          <w:rFonts w:eastAsia="Lucida Sans Unicode" w:cs="Times New Roman"/>
          <w:kern w:val="2"/>
          <w:szCs w:val="28"/>
          <w:lang w:val="ru-RU" w:eastAsia="hi-IN" w:bidi="hi-IN"/>
        </w:rPr>
      </w:pPr>
    </w:p>
    <w:p w:rsidR="008D286A" w:rsidRPr="008D286A" w:rsidRDefault="008D286A" w:rsidP="008D286A">
      <w:pPr>
        <w:pStyle w:val="a3"/>
        <w:spacing w:after="0" w:line="240" w:lineRule="auto"/>
        <w:ind w:left="0" w:firstLine="567"/>
        <w:jc w:val="both"/>
        <w:rPr>
          <w:rFonts w:cs="Times New Roman"/>
          <w:sz w:val="27"/>
          <w:szCs w:val="27"/>
          <w:lang w:eastAsia="en-GB"/>
        </w:rPr>
      </w:pPr>
      <w:r w:rsidRPr="008D286A">
        <w:rPr>
          <w:rFonts w:eastAsia="Lucida Sans Unicode" w:cs="Times New Roman"/>
          <w:kern w:val="2"/>
          <w:sz w:val="27"/>
          <w:szCs w:val="27"/>
          <w:lang w:eastAsia="hi-IN" w:bidi="hi-IN"/>
        </w:rPr>
        <w:t xml:space="preserve">Вища рада правосуддя розглянула </w:t>
      </w:r>
      <w:r w:rsidRPr="008D286A">
        <w:rPr>
          <w:rFonts w:cs="Times New Roman"/>
          <w:sz w:val="27"/>
          <w:szCs w:val="27"/>
        </w:rPr>
        <w:t xml:space="preserve">проєкт Закону України </w:t>
      </w:r>
      <w:r w:rsidRPr="008D286A">
        <w:rPr>
          <w:rFonts w:eastAsia="Times New Roman" w:cs="Times New Roman"/>
          <w:sz w:val="27"/>
          <w:szCs w:val="27"/>
          <w:lang w:eastAsia="uk-UA"/>
        </w:rPr>
        <w:t>«</w:t>
      </w:r>
      <w:r w:rsidRPr="008D286A">
        <w:rPr>
          <w:rFonts w:cs="Times New Roman"/>
          <w:sz w:val="27"/>
          <w:szCs w:val="27"/>
          <w:lang w:eastAsia="uk-UA"/>
        </w:rPr>
        <w:t xml:space="preserve">Про </w:t>
      </w:r>
      <w:r w:rsidRPr="008D286A">
        <w:rPr>
          <w:rFonts w:cs="Times New Roman"/>
          <w:bCs/>
          <w:sz w:val="27"/>
          <w:szCs w:val="27"/>
          <w:lang w:eastAsia="uk-UA"/>
        </w:rPr>
        <w:t xml:space="preserve">внесення змін до Закону України «Про судоустрій і статус суддів» </w:t>
      </w:r>
      <w:r w:rsidRPr="008D286A">
        <w:rPr>
          <w:rFonts w:cs="Times New Roman"/>
          <w:sz w:val="27"/>
          <w:szCs w:val="27"/>
        </w:rPr>
        <w:t>та деяких законів України щодо діяльності Верховного Суду та органів суддівського врядування</w:t>
      </w:r>
      <w:r w:rsidRPr="008D286A">
        <w:rPr>
          <w:rFonts w:eastAsia="Times New Roman" w:cs="Times New Roman"/>
          <w:sz w:val="27"/>
          <w:szCs w:val="27"/>
          <w:lang w:eastAsia="uk-UA"/>
        </w:rPr>
        <w:t xml:space="preserve">» </w:t>
      </w:r>
      <w:r w:rsidRPr="008D286A">
        <w:rPr>
          <w:rFonts w:cs="Times New Roman"/>
          <w:sz w:val="27"/>
          <w:szCs w:val="27"/>
          <w:lang w:eastAsia="en-GB"/>
        </w:rPr>
        <w:t>від 7 липня 2020 року, реєстраційний № 3711-2, внесений на розгляд Верховної Ради України у порядку законодавчої ініціативи народними депутатами України            Демченком С.О., Кінзбурською В.О., Дундою М.А., Тарасенком Т.П., який визначено як альтернативний до проєкту</w:t>
      </w:r>
      <w:r w:rsidRPr="008D286A">
        <w:rPr>
          <w:rFonts w:cs="Times New Roman"/>
          <w:sz w:val="27"/>
          <w:szCs w:val="27"/>
        </w:rPr>
        <w:t xml:space="preserve"> </w:t>
      </w:r>
      <w:r w:rsidRPr="008D286A">
        <w:rPr>
          <w:rFonts w:cs="Times New Roman"/>
          <w:sz w:val="27"/>
          <w:szCs w:val="27"/>
          <w:lang w:eastAsia="en-GB"/>
        </w:rPr>
        <w:t xml:space="preserve">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від 22 червня 2020 року, реєстраційний № 3711, внесеного на розгляд Верховної Ради України у порядку законодавчої ініціативи Президентом України. </w:t>
      </w:r>
    </w:p>
    <w:p w:rsidR="008D286A" w:rsidRPr="008D286A" w:rsidRDefault="008D286A" w:rsidP="008D286A">
      <w:pPr>
        <w:ind w:firstLine="708"/>
        <w:contextualSpacing/>
        <w:jc w:val="both"/>
        <w:rPr>
          <w:rFonts w:ascii="Times New Roman" w:eastAsia="Calibri" w:hAnsi="Times New Roman" w:cs="Times New Roman"/>
          <w:iCs/>
          <w:sz w:val="27"/>
          <w:szCs w:val="27"/>
          <w:lang w:val="uk-UA" w:eastAsia="en-US"/>
        </w:rPr>
      </w:pPr>
      <w:r w:rsidRPr="008D286A">
        <w:rPr>
          <w:rFonts w:ascii="Times New Roman" w:eastAsia="Calibri" w:hAnsi="Times New Roman" w:cs="Times New Roman"/>
          <w:sz w:val="27"/>
          <w:szCs w:val="27"/>
          <w:lang w:val="uk-UA" w:eastAsia="en-US"/>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w:t>
      </w:r>
      <w:bookmarkStart w:id="0" w:name="_GoBack"/>
      <w:bookmarkEnd w:id="0"/>
      <w:r w:rsidRPr="008D286A">
        <w:rPr>
          <w:rFonts w:ascii="Times New Roman" w:eastAsia="Calibri" w:hAnsi="Times New Roman" w:cs="Times New Roman"/>
          <w:sz w:val="27"/>
          <w:szCs w:val="27"/>
          <w:lang w:val="uk-UA" w:eastAsia="en-US"/>
        </w:rPr>
        <w:t>ктів з питань утворення, реорганізації чи ліквідації судів, судоустрою і статусу суддів.</w:t>
      </w:r>
    </w:p>
    <w:p w:rsidR="008D286A" w:rsidRPr="008D286A" w:rsidRDefault="008D286A" w:rsidP="008D286A">
      <w:pPr>
        <w:ind w:firstLine="709"/>
        <w:jc w:val="both"/>
        <w:rPr>
          <w:rFonts w:ascii="Times New Roman" w:eastAsia="Times New Roman" w:hAnsi="Times New Roman" w:cs="Times New Roman"/>
          <w:sz w:val="27"/>
          <w:szCs w:val="27"/>
          <w:lang w:val="uk-UA" w:eastAsia="ru-RU"/>
        </w:rPr>
      </w:pPr>
      <w:r w:rsidRPr="008D286A">
        <w:rPr>
          <w:rFonts w:ascii="Times New Roman" w:hAnsi="Times New Roman" w:cs="Times New Roman"/>
          <w:sz w:val="27"/>
          <w:szCs w:val="27"/>
          <w:lang w:val="uk-UA"/>
        </w:rPr>
        <w:t>За результатами розгляду вказаного законопроєкту</w:t>
      </w:r>
      <w:r w:rsidRPr="008D286A">
        <w:rPr>
          <w:rFonts w:ascii="Times New Roman" w:eastAsia="Times New Roman" w:hAnsi="Times New Roman" w:cs="Times New Roman"/>
          <w:sz w:val="27"/>
          <w:szCs w:val="27"/>
          <w:lang w:val="uk-UA" w:eastAsia="ru-RU"/>
        </w:rPr>
        <w:t xml:space="preserve">, керуючись статтею 131 Конституції України, статтями 3, 34 Закону України «Про Вищу раду правосуддя», Вища рада правосуддя </w:t>
      </w:r>
    </w:p>
    <w:p w:rsidR="008D286A" w:rsidRPr="008D286A" w:rsidRDefault="008D286A" w:rsidP="008D286A">
      <w:pPr>
        <w:tabs>
          <w:tab w:val="left" w:pos="0"/>
        </w:tabs>
        <w:autoSpaceDE w:val="0"/>
        <w:autoSpaceDN w:val="0"/>
        <w:adjustRightInd w:val="0"/>
        <w:ind w:firstLine="567"/>
        <w:jc w:val="both"/>
        <w:rPr>
          <w:rFonts w:ascii="Times New Roman" w:eastAsia="Times New Roman" w:hAnsi="Times New Roman" w:cs="Times New Roman"/>
          <w:sz w:val="27"/>
          <w:szCs w:val="27"/>
          <w:lang w:val="uk-UA"/>
        </w:rPr>
      </w:pPr>
    </w:p>
    <w:p w:rsidR="008D286A" w:rsidRPr="008D286A" w:rsidRDefault="008D286A" w:rsidP="008D286A">
      <w:pPr>
        <w:tabs>
          <w:tab w:val="left" w:pos="0"/>
        </w:tabs>
        <w:autoSpaceDE w:val="0"/>
        <w:autoSpaceDN w:val="0"/>
        <w:adjustRightInd w:val="0"/>
        <w:ind w:firstLine="567"/>
        <w:jc w:val="center"/>
        <w:rPr>
          <w:rFonts w:ascii="Times New Roman" w:eastAsia="Times New Roman" w:hAnsi="Times New Roman" w:cs="Times New Roman"/>
          <w:b/>
          <w:sz w:val="27"/>
          <w:szCs w:val="27"/>
          <w:lang w:val="uk-UA"/>
        </w:rPr>
      </w:pPr>
      <w:r w:rsidRPr="008D286A">
        <w:rPr>
          <w:rFonts w:ascii="Times New Roman" w:eastAsia="Times New Roman" w:hAnsi="Times New Roman" w:cs="Times New Roman"/>
          <w:b/>
          <w:sz w:val="27"/>
          <w:szCs w:val="27"/>
          <w:lang w:val="uk-UA"/>
        </w:rPr>
        <w:t>вирішила:</w:t>
      </w:r>
    </w:p>
    <w:p w:rsidR="008D286A" w:rsidRPr="008D286A" w:rsidRDefault="008D286A" w:rsidP="008D286A">
      <w:pPr>
        <w:tabs>
          <w:tab w:val="left" w:pos="0"/>
        </w:tabs>
        <w:autoSpaceDE w:val="0"/>
        <w:autoSpaceDN w:val="0"/>
        <w:adjustRightInd w:val="0"/>
        <w:ind w:firstLine="567"/>
        <w:jc w:val="both"/>
        <w:rPr>
          <w:rFonts w:ascii="Times New Roman" w:eastAsia="Times New Roman" w:hAnsi="Times New Roman" w:cs="Times New Roman"/>
          <w:sz w:val="27"/>
          <w:szCs w:val="27"/>
          <w:lang w:val="uk-UA"/>
        </w:rPr>
      </w:pPr>
    </w:p>
    <w:p w:rsidR="008D286A" w:rsidRPr="008D286A" w:rsidRDefault="008D286A" w:rsidP="008D286A">
      <w:pPr>
        <w:ind w:firstLine="708"/>
        <w:contextualSpacing/>
        <w:jc w:val="both"/>
        <w:rPr>
          <w:rFonts w:ascii="Times New Roman" w:eastAsia="Times New Roman" w:hAnsi="Times New Roman" w:cs="Times New Roman"/>
          <w:sz w:val="27"/>
          <w:szCs w:val="27"/>
          <w:lang w:val="uk-UA"/>
        </w:rPr>
      </w:pPr>
      <w:r w:rsidRPr="008D286A">
        <w:rPr>
          <w:rFonts w:ascii="Times New Roman" w:eastAsia="Times New Roman" w:hAnsi="Times New Roman" w:cs="Times New Roman"/>
          <w:sz w:val="27"/>
          <w:szCs w:val="27"/>
          <w:lang w:val="uk-UA"/>
        </w:rPr>
        <w:t xml:space="preserve">1. Затвердити консультативний висновок щодо </w:t>
      </w:r>
      <w:r w:rsidRPr="008D286A">
        <w:rPr>
          <w:rFonts w:ascii="Times New Roman" w:hAnsi="Times New Roman" w:cs="Times New Roman"/>
          <w:sz w:val="27"/>
          <w:szCs w:val="27"/>
          <w:lang w:val="uk-UA"/>
        </w:rPr>
        <w:t xml:space="preserve">проєкту Закону України       </w:t>
      </w:r>
      <w:r w:rsidRPr="008D286A">
        <w:rPr>
          <w:rFonts w:ascii="Times New Roman" w:eastAsia="Times New Roman" w:hAnsi="Times New Roman" w:cs="Times New Roman"/>
          <w:sz w:val="27"/>
          <w:szCs w:val="27"/>
          <w:lang w:val="uk-UA"/>
        </w:rPr>
        <w:t>«</w:t>
      </w:r>
      <w:r w:rsidRPr="008D286A">
        <w:rPr>
          <w:rFonts w:ascii="Times New Roman" w:hAnsi="Times New Roman" w:cs="Times New Roman"/>
          <w:sz w:val="27"/>
          <w:szCs w:val="27"/>
          <w:lang w:val="uk-UA"/>
        </w:rPr>
        <w:t xml:space="preserve">Про </w:t>
      </w:r>
      <w:r w:rsidRPr="008D286A">
        <w:rPr>
          <w:rFonts w:ascii="Times New Roman" w:hAnsi="Times New Roman" w:cs="Times New Roman"/>
          <w:bCs/>
          <w:sz w:val="27"/>
          <w:szCs w:val="27"/>
          <w:lang w:val="uk-UA"/>
        </w:rPr>
        <w:t xml:space="preserve">внесення змін до Закону України «Про судоустрій і статус суддів» </w:t>
      </w:r>
      <w:r w:rsidRPr="008D286A">
        <w:rPr>
          <w:rFonts w:ascii="Times New Roman" w:hAnsi="Times New Roman" w:cs="Times New Roman"/>
          <w:sz w:val="27"/>
          <w:szCs w:val="27"/>
          <w:lang w:val="uk-UA"/>
        </w:rPr>
        <w:t>та деяких законів України щодо діяльності Верховного Суду та органів суддівського врядування</w:t>
      </w:r>
      <w:r w:rsidRPr="008D286A">
        <w:rPr>
          <w:rFonts w:ascii="Times New Roman" w:eastAsia="Times New Roman" w:hAnsi="Times New Roman" w:cs="Times New Roman"/>
          <w:sz w:val="27"/>
          <w:szCs w:val="27"/>
          <w:lang w:val="uk-UA"/>
        </w:rPr>
        <w:t xml:space="preserve">» </w:t>
      </w:r>
      <w:r w:rsidRPr="008D286A">
        <w:rPr>
          <w:rFonts w:ascii="Times New Roman" w:hAnsi="Times New Roman" w:cs="Times New Roman"/>
          <w:sz w:val="27"/>
          <w:szCs w:val="27"/>
          <w:lang w:val="uk-UA" w:eastAsia="en-GB"/>
        </w:rPr>
        <w:t>від 7 липня 2020 року, реєстраційний № 3711-2, внесеного на розгляд Верховної Ради України у порядку законодавчої ініціативи народними депутатами України Демченком С.О., Кінзбурською В.О., Дундою М.А., Тарасенком Т.П.</w:t>
      </w:r>
    </w:p>
    <w:p w:rsidR="008D286A" w:rsidRPr="008D286A" w:rsidRDefault="008D286A" w:rsidP="008D286A">
      <w:pPr>
        <w:ind w:firstLine="708"/>
        <w:contextualSpacing/>
        <w:jc w:val="both"/>
        <w:rPr>
          <w:rFonts w:ascii="Times New Roman" w:eastAsia="Times New Roman" w:hAnsi="Times New Roman" w:cs="Times New Roman"/>
          <w:sz w:val="27"/>
          <w:szCs w:val="27"/>
          <w:lang w:val="uk-UA"/>
        </w:rPr>
      </w:pPr>
      <w:r w:rsidRPr="008D286A">
        <w:rPr>
          <w:rFonts w:ascii="Times New Roman" w:eastAsia="Times New Roman" w:hAnsi="Times New Roman" w:cs="Times New Roman"/>
          <w:sz w:val="27"/>
          <w:szCs w:val="27"/>
          <w:lang w:val="uk-UA"/>
        </w:rPr>
        <w:t>2. Надіслати консультативний висновок до Верховної Ради України.</w:t>
      </w:r>
    </w:p>
    <w:p w:rsidR="008D286A" w:rsidRPr="008D286A" w:rsidRDefault="008D286A" w:rsidP="008D286A">
      <w:pPr>
        <w:rPr>
          <w:rFonts w:ascii="Times New Roman" w:eastAsia="Times New Roman" w:hAnsi="Times New Roman" w:cs="Times New Roman"/>
          <w:b/>
          <w:sz w:val="27"/>
          <w:szCs w:val="27"/>
          <w:lang w:val="uk-UA"/>
        </w:rPr>
      </w:pPr>
    </w:p>
    <w:p w:rsidR="008D286A" w:rsidRPr="008D286A" w:rsidRDefault="008D286A" w:rsidP="008D286A">
      <w:pPr>
        <w:rPr>
          <w:rFonts w:ascii="Times New Roman" w:eastAsia="Times New Roman" w:hAnsi="Times New Roman" w:cs="Times New Roman"/>
          <w:b/>
          <w:sz w:val="27"/>
          <w:szCs w:val="27"/>
          <w:lang w:val="uk-UA"/>
        </w:rPr>
      </w:pPr>
    </w:p>
    <w:p w:rsidR="008D286A" w:rsidRPr="008D286A" w:rsidRDefault="008D286A" w:rsidP="008D286A">
      <w:pPr>
        <w:rPr>
          <w:rFonts w:ascii="Times New Roman" w:eastAsia="Times New Roman" w:hAnsi="Times New Roman" w:cs="Times New Roman"/>
          <w:b/>
          <w:sz w:val="27"/>
          <w:szCs w:val="27"/>
          <w:lang w:val="uk-UA"/>
        </w:rPr>
      </w:pPr>
      <w:r w:rsidRPr="008D286A">
        <w:rPr>
          <w:rFonts w:ascii="Times New Roman" w:eastAsia="Times New Roman" w:hAnsi="Times New Roman" w:cs="Times New Roman"/>
          <w:b/>
          <w:sz w:val="27"/>
          <w:szCs w:val="27"/>
          <w:lang w:val="uk-UA"/>
        </w:rPr>
        <w:t xml:space="preserve">Голова Вищої ради правосуддя </w:t>
      </w:r>
      <w:r w:rsidRPr="008D286A">
        <w:rPr>
          <w:rFonts w:ascii="Times New Roman" w:eastAsia="Times New Roman" w:hAnsi="Times New Roman" w:cs="Times New Roman"/>
          <w:b/>
          <w:sz w:val="27"/>
          <w:szCs w:val="27"/>
          <w:lang w:val="uk-UA"/>
        </w:rPr>
        <w:tab/>
      </w:r>
      <w:r w:rsidRPr="008D286A">
        <w:rPr>
          <w:rFonts w:ascii="Times New Roman" w:eastAsia="Times New Roman" w:hAnsi="Times New Roman" w:cs="Times New Roman"/>
          <w:b/>
          <w:sz w:val="27"/>
          <w:szCs w:val="27"/>
          <w:lang w:val="uk-UA"/>
        </w:rPr>
        <w:tab/>
      </w:r>
      <w:r w:rsidRPr="008D286A">
        <w:rPr>
          <w:rFonts w:ascii="Times New Roman" w:eastAsia="Times New Roman" w:hAnsi="Times New Roman" w:cs="Times New Roman"/>
          <w:b/>
          <w:sz w:val="27"/>
          <w:szCs w:val="27"/>
          <w:lang w:val="uk-UA"/>
        </w:rPr>
        <w:tab/>
      </w:r>
      <w:r w:rsidRPr="008D286A">
        <w:rPr>
          <w:rFonts w:ascii="Times New Roman" w:eastAsia="Times New Roman" w:hAnsi="Times New Roman" w:cs="Times New Roman"/>
          <w:b/>
          <w:sz w:val="27"/>
          <w:szCs w:val="27"/>
          <w:lang w:val="uk-UA"/>
        </w:rPr>
        <w:tab/>
      </w:r>
      <w:r w:rsidRPr="008D286A">
        <w:rPr>
          <w:rFonts w:ascii="Times New Roman" w:eastAsia="Times New Roman" w:hAnsi="Times New Roman" w:cs="Times New Roman"/>
          <w:b/>
          <w:sz w:val="27"/>
          <w:szCs w:val="27"/>
          <w:lang w:val="uk-UA"/>
        </w:rPr>
        <w:tab/>
      </w:r>
      <w:r w:rsidRPr="008D286A">
        <w:rPr>
          <w:rFonts w:ascii="Times New Roman" w:eastAsia="Times New Roman" w:hAnsi="Times New Roman" w:cs="Times New Roman"/>
          <w:b/>
          <w:sz w:val="27"/>
          <w:szCs w:val="27"/>
          <w:lang w:val="uk-UA"/>
        </w:rPr>
        <w:tab/>
        <w:t xml:space="preserve">  А.А. Овсієнко</w:t>
      </w:r>
    </w:p>
    <w:p w:rsidR="008D286A" w:rsidRPr="008D286A" w:rsidRDefault="008D286A" w:rsidP="008D286A">
      <w:pPr>
        <w:tabs>
          <w:tab w:val="left" w:pos="4678"/>
        </w:tabs>
        <w:ind w:right="139"/>
        <w:rPr>
          <w:rFonts w:ascii="Times New Roman" w:eastAsia="Calibri" w:hAnsi="Times New Roman" w:cs="Times New Roman"/>
          <w:b/>
          <w:sz w:val="28"/>
          <w:szCs w:val="28"/>
          <w:lang w:val="uk-UA" w:eastAsia="en-US"/>
        </w:rPr>
      </w:pPr>
      <w:r w:rsidRPr="008D286A">
        <w:rPr>
          <w:rFonts w:ascii="Times New Roman" w:eastAsia="Calibri" w:hAnsi="Times New Roman" w:cs="Times New Roman"/>
          <w:b/>
          <w:sz w:val="28"/>
          <w:szCs w:val="28"/>
          <w:lang w:val="uk-UA" w:eastAsia="en-US"/>
        </w:rPr>
        <w:t xml:space="preserve">                                                                   </w:t>
      </w:r>
    </w:p>
    <w:p w:rsidR="008D286A" w:rsidRPr="008D286A" w:rsidRDefault="008D286A" w:rsidP="008D286A">
      <w:pPr>
        <w:tabs>
          <w:tab w:val="left" w:pos="4678"/>
        </w:tabs>
        <w:ind w:right="139"/>
        <w:rPr>
          <w:rFonts w:ascii="Times New Roman" w:eastAsia="Calibri" w:hAnsi="Times New Roman" w:cs="Times New Roman"/>
          <w:b/>
          <w:sz w:val="28"/>
          <w:szCs w:val="28"/>
          <w:lang w:val="uk-UA" w:eastAsia="en-US"/>
        </w:rPr>
      </w:pPr>
    </w:p>
    <w:p w:rsidR="00947749" w:rsidRPr="00420C55" w:rsidRDefault="00947749" w:rsidP="00947749">
      <w:pPr>
        <w:tabs>
          <w:tab w:val="left" w:pos="4678"/>
        </w:tabs>
        <w:ind w:right="139" w:firstLine="4678"/>
        <w:rPr>
          <w:rFonts w:ascii="Times New Roman" w:eastAsia="Calibri" w:hAnsi="Times New Roman" w:cs="Times New Roman"/>
          <w:b/>
          <w:sz w:val="28"/>
          <w:szCs w:val="28"/>
          <w:lang w:val="uk-UA" w:eastAsia="en-US"/>
        </w:rPr>
      </w:pPr>
      <w:r w:rsidRPr="00420C55">
        <w:rPr>
          <w:rFonts w:ascii="Times New Roman" w:eastAsia="Calibri" w:hAnsi="Times New Roman" w:cs="Times New Roman"/>
          <w:b/>
          <w:sz w:val="28"/>
          <w:szCs w:val="28"/>
          <w:lang w:val="uk-UA" w:eastAsia="en-US"/>
        </w:rPr>
        <w:lastRenderedPageBreak/>
        <w:t xml:space="preserve">ЗАТВЕРДЖЕНО </w:t>
      </w:r>
    </w:p>
    <w:p w:rsidR="00947749" w:rsidRPr="00420C55" w:rsidRDefault="00947749" w:rsidP="00947749">
      <w:pPr>
        <w:tabs>
          <w:tab w:val="left" w:pos="5245"/>
        </w:tabs>
        <w:ind w:firstLine="4678"/>
        <w:rPr>
          <w:rFonts w:ascii="Times New Roman" w:eastAsia="Calibri" w:hAnsi="Times New Roman" w:cs="Times New Roman"/>
          <w:b/>
          <w:sz w:val="28"/>
          <w:szCs w:val="28"/>
          <w:lang w:val="uk-UA" w:eastAsia="en-US"/>
        </w:rPr>
      </w:pPr>
      <w:r w:rsidRPr="00420C55">
        <w:rPr>
          <w:rFonts w:ascii="Times New Roman" w:eastAsia="Calibri" w:hAnsi="Times New Roman" w:cs="Times New Roman"/>
          <w:b/>
          <w:sz w:val="28"/>
          <w:szCs w:val="28"/>
          <w:lang w:val="uk-UA" w:eastAsia="en-US"/>
        </w:rPr>
        <w:t>Рішення Вищої ради правосуддя</w:t>
      </w:r>
    </w:p>
    <w:p w:rsidR="00947749" w:rsidRPr="00420C55" w:rsidRDefault="00947749" w:rsidP="00947749">
      <w:pPr>
        <w:tabs>
          <w:tab w:val="left" w:pos="3969"/>
        </w:tabs>
        <w:ind w:right="139" w:firstLine="4678"/>
        <w:rPr>
          <w:rFonts w:ascii="Times New Roman" w:eastAsia="Times New Roman" w:hAnsi="Times New Roman" w:cs="Times New Roman"/>
          <w:b/>
          <w:sz w:val="28"/>
          <w:szCs w:val="28"/>
          <w:lang w:val="uk-UA"/>
        </w:rPr>
      </w:pPr>
      <w:r w:rsidRPr="00420C55">
        <w:rPr>
          <w:rFonts w:ascii="Times New Roman" w:eastAsia="Calibri" w:hAnsi="Times New Roman" w:cs="Times New Roman"/>
          <w:b/>
          <w:sz w:val="28"/>
          <w:szCs w:val="28"/>
          <w:lang w:val="uk-UA" w:eastAsia="en-US"/>
        </w:rPr>
        <w:t xml:space="preserve">«14» липня 2020 року №  </w:t>
      </w:r>
      <w:r>
        <w:rPr>
          <w:rFonts w:ascii="Times New Roman" w:eastAsia="Calibri" w:hAnsi="Times New Roman" w:cs="Times New Roman"/>
          <w:b/>
          <w:sz w:val="28"/>
          <w:szCs w:val="28"/>
          <w:lang w:val="uk-UA" w:eastAsia="en-US"/>
        </w:rPr>
        <w:t>2128</w:t>
      </w:r>
      <w:r w:rsidRPr="00420C55">
        <w:rPr>
          <w:rFonts w:ascii="Times New Roman" w:eastAsia="Calibri" w:hAnsi="Times New Roman" w:cs="Times New Roman"/>
          <w:b/>
          <w:sz w:val="28"/>
          <w:szCs w:val="28"/>
          <w:lang w:val="uk-UA" w:eastAsia="en-US"/>
        </w:rPr>
        <w:t>/0/15-20</w:t>
      </w:r>
    </w:p>
    <w:p w:rsidR="008D286A" w:rsidRPr="008D286A" w:rsidRDefault="008D286A" w:rsidP="008D286A">
      <w:pPr>
        <w:tabs>
          <w:tab w:val="left" w:pos="3969"/>
        </w:tabs>
        <w:rPr>
          <w:rFonts w:ascii="Times New Roman" w:eastAsia="Calibri" w:hAnsi="Times New Roman" w:cs="Times New Roman"/>
          <w:sz w:val="28"/>
          <w:szCs w:val="28"/>
          <w:lang w:val="uk-UA" w:eastAsia="en-US"/>
        </w:rPr>
      </w:pPr>
    </w:p>
    <w:p w:rsidR="008D286A" w:rsidRPr="008D286A" w:rsidRDefault="008D286A" w:rsidP="008D286A">
      <w:pPr>
        <w:tabs>
          <w:tab w:val="left" w:pos="3969"/>
        </w:tabs>
        <w:jc w:val="center"/>
        <w:rPr>
          <w:rFonts w:ascii="Times New Roman" w:eastAsia="Calibri" w:hAnsi="Times New Roman" w:cs="Times New Roman"/>
          <w:sz w:val="28"/>
          <w:szCs w:val="28"/>
          <w:lang w:val="uk-UA" w:eastAsia="en-US"/>
        </w:rPr>
      </w:pPr>
      <w:r w:rsidRPr="008D286A">
        <w:rPr>
          <w:rFonts w:ascii="Times New Roman" w:eastAsia="Calibri" w:hAnsi="Times New Roman" w:cs="Times New Roman"/>
          <w:sz w:val="28"/>
          <w:szCs w:val="28"/>
          <w:lang w:val="uk-UA" w:eastAsia="en-US"/>
        </w:rPr>
        <w:t>КОНСУЛЬТАТИВНИЙ ВИСНОВОК</w:t>
      </w:r>
    </w:p>
    <w:p w:rsidR="008D286A" w:rsidRPr="008D286A" w:rsidRDefault="00947749" w:rsidP="008D286A">
      <w:pPr>
        <w:jc w:val="center"/>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щодо законопроє</w:t>
      </w:r>
      <w:r w:rsidR="008D286A" w:rsidRPr="008D286A">
        <w:rPr>
          <w:rFonts w:ascii="Times New Roman" w:eastAsia="Calibri" w:hAnsi="Times New Roman" w:cs="Times New Roman"/>
          <w:sz w:val="28"/>
          <w:szCs w:val="28"/>
          <w:lang w:val="uk-UA" w:eastAsia="en-US"/>
        </w:rPr>
        <w:t>кту № 3711-2</w:t>
      </w:r>
    </w:p>
    <w:p w:rsidR="008D286A" w:rsidRPr="008D286A" w:rsidRDefault="008D286A" w:rsidP="008D286A">
      <w:pPr>
        <w:rPr>
          <w:rFonts w:ascii="Times New Roman" w:eastAsia="Calibri" w:hAnsi="Times New Roman" w:cs="Times New Roman"/>
          <w:sz w:val="28"/>
          <w:szCs w:val="28"/>
          <w:lang w:val="uk-UA" w:eastAsia="en-US"/>
        </w:rPr>
      </w:pPr>
    </w:p>
    <w:p w:rsidR="008D286A" w:rsidRPr="008D286A" w:rsidRDefault="008D286A" w:rsidP="008D286A">
      <w:pPr>
        <w:pStyle w:val="a3"/>
        <w:spacing w:after="0" w:line="240" w:lineRule="auto"/>
        <w:ind w:left="0" w:firstLine="567"/>
        <w:jc w:val="both"/>
        <w:rPr>
          <w:rFonts w:cs="Times New Roman"/>
          <w:szCs w:val="28"/>
          <w:lang w:eastAsia="en-GB"/>
        </w:rPr>
      </w:pPr>
      <w:r w:rsidRPr="008D286A">
        <w:rPr>
          <w:rFonts w:cs="Times New Roman"/>
          <w:szCs w:val="28"/>
        </w:rPr>
        <w:t xml:space="preserve">1. Проєкт Закону України </w:t>
      </w:r>
      <w:r w:rsidRPr="008D286A">
        <w:rPr>
          <w:rFonts w:eastAsia="Times New Roman" w:cs="Times New Roman"/>
          <w:szCs w:val="28"/>
          <w:lang w:eastAsia="uk-UA"/>
        </w:rPr>
        <w:t>«</w:t>
      </w:r>
      <w:r w:rsidRPr="008D286A">
        <w:rPr>
          <w:rFonts w:cs="Times New Roman"/>
          <w:szCs w:val="28"/>
          <w:lang w:eastAsia="uk-UA"/>
        </w:rPr>
        <w:t xml:space="preserve">Про </w:t>
      </w:r>
      <w:r w:rsidRPr="008D286A">
        <w:rPr>
          <w:rFonts w:cs="Times New Roman"/>
          <w:bCs/>
          <w:szCs w:val="28"/>
          <w:lang w:eastAsia="uk-UA"/>
        </w:rPr>
        <w:t xml:space="preserve">внесення змін до Закону України «Про судоустрій і статус суддів» </w:t>
      </w:r>
      <w:r w:rsidRPr="008D286A">
        <w:rPr>
          <w:rFonts w:cs="Times New Roman"/>
          <w:szCs w:val="28"/>
        </w:rPr>
        <w:t>та деяких законів України щодо діяльності Верховного Суду та органів суддівського врядування</w:t>
      </w:r>
      <w:r w:rsidRPr="008D286A">
        <w:rPr>
          <w:rFonts w:eastAsia="Times New Roman" w:cs="Times New Roman"/>
          <w:szCs w:val="28"/>
          <w:lang w:eastAsia="uk-UA"/>
        </w:rPr>
        <w:t xml:space="preserve">» </w:t>
      </w:r>
      <w:r w:rsidRPr="008D286A">
        <w:rPr>
          <w:rFonts w:cs="Times New Roman"/>
          <w:szCs w:val="28"/>
          <w:lang w:eastAsia="en-GB"/>
        </w:rPr>
        <w:t>від 7 липня 2020 року, реєстраційний № 3711-2 (далі – законопроєкт № 3711-2), внесено на розгляд Верховної Ради України у порядку законодавчої ініціативи народними депутатами України Демченком С.О., Кінзбурською В.О., Дундою М.А., Тарасенком Т.П., який визначено як альтернативний до проекту</w:t>
      </w:r>
      <w:r w:rsidRPr="008D286A">
        <w:rPr>
          <w:rFonts w:cs="Times New Roman"/>
        </w:rPr>
        <w:t xml:space="preserve"> </w:t>
      </w:r>
      <w:r w:rsidRPr="008D286A">
        <w:rPr>
          <w:rFonts w:cs="Times New Roman"/>
          <w:szCs w:val="28"/>
          <w:lang w:eastAsia="en-GB"/>
        </w:rPr>
        <w:t>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від 22 червня 2020 р</w:t>
      </w:r>
      <w:r w:rsidR="00947749">
        <w:rPr>
          <w:rFonts w:cs="Times New Roman"/>
          <w:szCs w:val="28"/>
          <w:lang w:eastAsia="en-GB"/>
        </w:rPr>
        <w:t xml:space="preserve">оку, реєстраційний № 3711      (далі </w:t>
      </w:r>
      <w:r w:rsidRPr="008D286A">
        <w:rPr>
          <w:rFonts w:cs="Times New Roman"/>
          <w:szCs w:val="28"/>
          <w:lang w:eastAsia="en-GB"/>
        </w:rPr>
        <w:t xml:space="preserve">– законопроєкт № 3711), внесеного на розгляд Верховної Ради України у порядку законодавчої ініціативи Президентом України. </w:t>
      </w:r>
    </w:p>
    <w:p w:rsidR="008D286A" w:rsidRPr="008D286A" w:rsidRDefault="008D286A" w:rsidP="008D286A">
      <w:pPr>
        <w:ind w:firstLine="720"/>
        <w:jc w:val="both"/>
        <w:outlineLvl w:val="0"/>
        <w:rPr>
          <w:rFonts w:ascii="Times New Roman" w:eastAsia="Times New Roman" w:hAnsi="Times New Roman" w:cs="Times New Roman"/>
          <w:spacing w:val="-6"/>
          <w:sz w:val="28"/>
          <w:szCs w:val="28"/>
          <w:lang w:val="uk-UA" w:eastAsia="ru-RU"/>
        </w:rPr>
      </w:pPr>
      <w:r w:rsidRPr="008D286A">
        <w:rPr>
          <w:rFonts w:ascii="Times New Roman" w:hAnsi="Times New Roman" w:cs="Times New Roman"/>
          <w:sz w:val="28"/>
          <w:szCs w:val="28"/>
          <w:lang w:val="uk-UA" w:eastAsia="en-GB"/>
        </w:rPr>
        <w:t>Як вбачається з пояснювальної записки до законопроєкту № 3711-2,</w:t>
      </w:r>
      <w:r w:rsidRPr="008D286A">
        <w:rPr>
          <w:rFonts w:ascii="Times New Roman" w:eastAsia="Times New Roman" w:hAnsi="Times New Roman" w:cs="Times New Roman"/>
          <w:spacing w:val="-6"/>
          <w:sz w:val="28"/>
          <w:szCs w:val="28"/>
          <w:lang w:val="uk-UA" w:eastAsia="ru-RU"/>
        </w:rPr>
        <w:t xml:space="preserve"> його метою є приведення положень законодавства України у відповідність із рішеннями Конституційного Суду України </w:t>
      </w:r>
      <w:r w:rsidRPr="008D286A">
        <w:rPr>
          <w:rFonts w:ascii="Times New Roman" w:hAnsi="Times New Roman" w:cs="Times New Roman"/>
          <w:sz w:val="28"/>
          <w:szCs w:val="28"/>
          <w:lang w:val="uk-UA"/>
        </w:rPr>
        <w:t xml:space="preserve">від 18 лютого 2020 року № 2-р/2020 та від </w:t>
      </w:r>
      <w:r w:rsidR="00947749">
        <w:rPr>
          <w:rFonts w:ascii="Times New Roman" w:hAnsi="Times New Roman" w:cs="Times New Roman"/>
          <w:sz w:val="28"/>
          <w:szCs w:val="28"/>
          <w:lang w:val="uk-UA"/>
        </w:rPr>
        <w:t xml:space="preserve">             </w:t>
      </w:r>
      <w:r w:rsidRPr="008D286A">
        <w:rPr>
          <w:rFonts w:ascii="Times New Roman" w:hAnsi="Times New Roman" w:cs="Times New Roman"/>
          <w:sz w:val="28"/>
          <w:szCs w:val="28"/>
          <w:lang w:val="uk-UA"/>
        </w:rPr>
        <w:t>11 березня 2020 року № 4-р/2020, а також удосконалення процедури формування та діяльності органів суддівського врядування</w:t>
      </w:r>
      <w:r w:rsidRPr="008D286A">
        <w:rPr>
          <w:rFonts w:ascii="Times New Roman" w:eastAsia="Times New Roman" w:hAnsi="Times New Roman" w:cs="Times New Roman"/>
          <w:spacing w:val="-6"/>
          <w:sz w:val="28"/>
          <w:szCs w:val="28"/>
          <w:lang w:val="uk-UA" w:eastAsia="ru-RU"/>
        </w:rPr>
        <w:t>.</w:t>
      </w:r>
    </w:p>
    <w:p w:rsidR="008D286A" w:rsidRPr="008D286A" w:rsidRDefault="008D286A" w:rsidP="008D286A">
      <w:pPr>
        <w:tabs>
          <w:tab w:val="left" w:pos="426"/>
        </w:tabs>
        <w:autoSpaceDE w:val="0"/>
        <w:autoSpaceDN w:val="0"/>
        <w:adjustRightInd w:val="0"/>
        <w:ind w:firstLine="567"/>
        <w:jc w:val="both"/>
        <w:rPr>
          <w:rFonts w:ascii="Times New Roman" w:hAnsi="Times New Roman" w:cs="Times New Roman"/>
          <w:sz w:val="28"/>
          <w:szCs w:val="28"/>
          <w:lang w:val="uk-UA"/>
        </w:rPr>
      </w:pPr>
      <w:r w:rsidRPr="008D286A">
        <w:rPr>
          <w:rFonts w:ascii="Times New Roman" w:hAnsi="Times New Roman" w:cs="Times New Roman"/>
          <w:sz w:val="28"/>
          <w:szCs w:val="28"/>
          <w:lang w:val="uk-UA"/>
        </w:rPr>
        <w:tab/>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Усі проекти законів, що стосуються статусу суддів, здійснення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8D286A">
        <w:rPr>
          <w:rStyle w:val="a6"/>
          <w:rFonts w:ascii="Times New Roman" w:hAnsi="Times New Roman"/>
          <w:sz w:val="28"/>
          <w:szCs w:val="28"/>
          <w:lang w:val="uk-UA"/>
        </w:rPr>
        <w:footnoteReference w:id="1"/>
      </w:r>
      <w:r w:rsidRPr="008D286A">
        <w:rPr>
          <w:rFonts w:ascii="Times New Roman" w:hAnsi="Times New Roman" w:cs="Times New Roman"/>
          <w:iCs/>
          <w:sz w:val="28"/>
          <w:szCs w:val="28"/>
          <w:lang w:val="uk-UA"/>
        </w:rPr>
        <w:t>.</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Вища рада правосуддя відповідно до статей 125, 131 Конституції України, статті 19 Закону України «Про судоустрій і статус суддів» та статті 3 Закону України  «Про Вищу раду правосуддя» на засіданні 26 травня 2020 року ухвалила рішення про надання консультативного висновку до проєкту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який надійшов з листом від Офісу Президента України від 20 травня 2020 року № 45-01/2161.</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30 червня 2020 року Вища рада правосуддя ухвалила рішення № 2012/0/15-</w:t>
      </w:r>
      <w:r w:rsidRPr="008D286A">
        <w:rPr>
          <w:rFonts w:ascii="Times New Roman" w:hAnsi="Times New Roman" w:cs="Times New Roman"/>
          <w:iCs/>
          <w:sz w:val="28"/>
          <w:szCs w:val="28"/>
          <w:lang w:val="uk-UA"/>
        </w:rPr>
        <w:lastRenderedPageBreak/>
        <w:t xml:space="preserve">20, яким затвердила консультативний </w:t>
      </w:r>
      <w:r w:rsidR="00947749">
        <w:rPr>
          <w:rFonts w:ascii="Times New Roman" w:hAnsi="Times New Roman" w:cs="Times New Roman"/>
          <w:iCs/>
          <w:sz w:val="28"/>
          <w:szCs w:val="28"/>
          <w:lang w:val="uk-UA"/>
        </w:rPr>
        <w:t xml:space="preserve">висновок </w:t>
      </w:r>
      <w:r w:rsidRPr="008D286A">
        <w:rPr>
          <w:rFonts w:ascii="Times New Roman" w:hAnsi="Times New Roman" w:cs="Times New Roman"/>
          <w:iCs/>
          <w:sz w:val="28"/>
          <w:szCs w:val="28"/>
          <w:lang w:val="uk-UA"/>
        </w:rPr>
        <w:t>щодо проєкту Закону України «Про внесення змін до Закону України «Про судоустрій і статус суддів» та деяких законів України щодо діяльності Верховного Суду та о</w:t>
      </w:r>
      <w:r w:rsidR="00947749">
        <w:rPr>
          <w:rFonts w:ascii="Times New Roman" w:hAnsi="Times New Roman" w:cs="Times New Roman"/>
          <w:iCs/>
          <w:sz w:val="28"/>
          <w:szCs w:val="28"/>
          <w:lang w:val="uk-UA"/>
        </w:rPr>
        <w:t>рганів суддівського врядування»</w:t>
      </w:r>
      <w:r w:rsidRPr="008D286A">
        <w:rPr>
          <w:rFonts w:ascii="Times New Roman" w:hAnsi="Times New Roman" w:cs="Times New Roman"/>
          <w:iCs/>
          <w:sz w:val="28"/>
          <w:szCs w:val="28"/>
          <w:lang w:val="uk-UA"/>
        </w:rPr>
        <w:t xml:space="preserve"> </w:t>
      </w:r>
      <w:r w:rsidR="00947749" w:rsidRPr="008D286A">
        <w:rPr>
          <w:rFonts w:ascii="Times New Roman" w:hAnsi="Times New Roman" w:cs="Times New Roman"/>
          <w:iCs/>
          <w:sz w:val="28"/>
          <w:szCs w:val="28"/>
          <w:lang w:val="uk-UA"/>
        </w:rPr>
        <w:t>від 22 червня 2020 року</w:t>
      </w:r>
      <w:r w:rsidR="00947749">
        <w:rPr>
          <w:rFonts w:ascii="Times New Roman" w:hAnsi="Times New Roman" w:cs="Times New Roman"/>
          <w:iCs/>
          <w:sz w:val="28"/>
          <w:szCs w:val="28"/>
          <w:lang w:val="uk-UA"/>
        </w:rPr>
        <w:t>,</w:t>
      </w:r>
      <w:r w:rsidR="00947749" w:rsidRPr="008D286A">
        <w:rPr>
          <w:rFonts w:ascii="Times New Roman" w:hAnsi="Times New Roman" w:cs="Times New Roman"/>
          <w:iCs/>
          <w:sz w:val="28"/>
          <w:szCs w:val="28"/>
          <w:lang w:val="uk-UA"/>
        </w:rPr>
        <w:t xml:space="preserve"> </w:t>
      </w:r>
      <w:r w:rsidRPr="008D286A">
        <w:rPr>
          <w:rFonts w:ascii="Times New Roman" w:hAnsi="Times New Roman" w:cs="Times New Roman"/>
          <w:iCs/>
          <w:sz w:val="28"/>
          <w:szCs w:val="28"/>
          <w:lang w:val="uk-UA"/>
        </w:rPr>
        <w:t>реєстраційний № 3711, внесеного на розгляд Верховної Ради України у порядку законодавчої ініціативи Президентом України.</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Вища рада правосуддя підтримала норми законопроєкту щодо формування Вищої кваліфікаційної комісії суддів України, однак акцентувала увагу </w:t>
      </w:r>
      <w:r w:rsidR="00947749">
        <w:rPr>
          <w:rFonts w:ascii="Times New Roman" w:hAnsi="Times New Roman" w:cs="Times New Roman"/>
          <w:iCs/>
          <w:sz w:val="28"/>
          <w:szCs w:val="28"/>
          <w:lang w:val="uk-UA"/>
        </w:rPr>
        <w:t>на</w:t>
      </w:r>
      <w:r w:rsidR="0062082E">
        <w:rPr>
          <w:rFonts w:ascii="Times New Roman" w:hAnsi="Times New Roman" w:cs="Times New Roman"/>
          <w:iCs/>
          <w:sz w:val="28"/>
          <w:szCs w:val="28"/>
          <w:lang w:val="uk-UA"/>
        </w:rPr>
        <w:t xml:space="preserve"> </w:t>
      </w:r>
      <w:r w:rsidRPr="008D286A">
        <w:rPr>
          <w:rFonts w:ascii="Times New Roman" w:hAnsi="Times New Roman" w:cs="Times New Roman"/>
          <w:iCs/>
          <w:sz w:val="28"/>
          <w:szCs w:val="28"/>
          <w:lang w:val="uk-UA"/>
        </w:rPr>
        <w:t>необхідності визначити принцип формування Вищої кваліфікаційної комісії суддів України</w:t>
      </w:r>
      <w:r w:rsidR="00947749">
        <w:rPr>
          <w:rFonts w:ascii="Times New Roman" w:hAnsi="Times New Roman" w:cs="Times New Roman"/>
          <w:iCs/>
          <w:sz w:val="28"/>
          <w:szCs w:val="28"/>
          <w:lang w:val="uk-UA"/>
        </w:rPr>
        <w:t>,</w:t>
      </w:r>
      <w:r w:rsidRPr="008D286A">
        <w:rPr>
          <w:rFonts w:ascii="Times New Roman" w:hAnsi="Times New Roman" w:cs="Times New Roman"/>
          <w:iCs/>
          <w:sz w:val="28"/>
          <w:szCs w:val="28"/>
          <w:lang w:val="uk-UA"/>
        </w:rPr>
        <w:t xml:space="preserve"> де більшість її складу мають становити судді, відповідно до Висновку Європейської комісії «За демократію через право» (Венеційська комісія) щодо змін до законодавчих актів, які регулюють статус Верховного Суду та органів суддівського врядування, викладених у пункті 17, прийнятого на її 121-му пленарному засіданні (Венеція, 6–7 грудня 2019 року).</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Європейськими стандартами встановлено, що склад та порядок формування такого органу має враховувати обов’язкову складову – більшість членів органу суддівського врядування повинні бути суддями (пункт 1.3 Європейської хартії про закон «Про статус суддів» від 10 липня 1998 року; пункт 45 Висновку № 1 (2001) КРЄС до уваги Комітету Міністрів Ради Європи щодо стандартів незалежності судової влади та незмінюваності </w:t>
      </w:r>
      <w:r w:rsidR="002B25C5">
        <w:rPr>
          <w:rFonts w:ascii="Times New Roman" w:hAnsi="Times New Roman" w:cs="Times New Roman"/>
          <w:iCs/>
          <w:sz w:val="28"/>
          <w:szCs w:val="28"/>
          <w:lang w:val="uk-UA"/>
        </w:rPr>
        <w:t xml:space="preserve">суддів; пункти 14–18 Висновку </w:t>
      </w:r>
      <w:r w:rsidRPr="008D286A">
        <w:rPr>
          <w:rFonts w:ascii="Times New Roman" w:hAnsi="Times New Roman" w:cs="Times New Roman"/>
          <w:iCs/>
          <w:sz w:val="28"/>
          <w:szCs w:val="28"/>
          <w:lang w:val="uk-UA"/>
        </w:rPr>
        <w:t xml:space="preserve"> № 10 (2007) КРЄС до уваги Комітету Міністрів Ради Європи щодо судової ради на службі суспільства від 21–23 листопада 2007 року; пункти 37, 108, 120 Спільного висновку Європейської комісії «За демократію через право» та Директорату з технічного співробітництва Генерального Директорату з прав людини та правових питань Ради Європи щодо Закону України «Про судоустрій і статус суддів» від 18 жовтня 2010 року; пункт 6.4 Резолюції 1862 (2012) Парламентської Асамблеї Ради Європи «Функціонування демократичних інституцій в Україні» від 26 січня 2012 року; пункти 60, 62, 68 Звіту про ситуацію стосовно судової влади та суддів в державах-членах Ради Європи (оновлена версія № 2 (2015), прийнята в рамках 16-го пленарного засідання Комітету Міністрів Ради Європи від 14–16 жовтня 2015 року)).</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Запропоновані законопроєктом зміни дадуть змогу Вищій раді правосуддя якнайшвидше сформувати Вищу кваліфікаційну комісію суддів України та,  як наслідок, запустити процес добору, кваліфікаційного оцінювання суддів та вирішувати інші питання суддівської кар’єри. Окрім цього</w:t>
      </w:r>
      <w:r w:rsidR="00947749">
        <w:rPr>
          <w:rFonts w:ascii="Times New Roman" w:hAnsi="Times New Roman" w:cs="Times New Roman"/>
          <w:iCs/>
          <w:sz w:val="28"/>
          <w:szCs w:val="28"/>
          <w:lang w:val="uk-UA"/>
        </w:rPr>
        <w:t>,</w:t>
      </w:r>
      <w:r w:rsidRPr="008D286A">
        <w:rPr>
          <w:rFonts w:ascii="Times New Roman" w:hAnsi="Times New Roman" w:cs="Times New Roman"/>
          <w:iCs/>
          <w:sz w:val="28"/>
          <w:szCs w:val="28"/>
          <w:lang w:val="uk-UA"/>
        </w:rPr>
        <w:t xml:space="preserve"> Вищою радою правосуддя  підтримано положення щодо порядку припинення Верховного Суду України як юридичної особи та визначення статусу суддів Верховного Суду України.</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2.   Вища рада правосуддя</w:t>
      </w:r>
      <w:r w:rsidR="00947749">
        <w:rPr>
          <w:rFonts w:ascii="Times New Roman" w:hAnsi="Times New Roman" w:cs="Times New Roman"/>
          <w:iCs/>
          <w:sz w:val="28"/>
          <w:szCs w:val="28"/>
          <w:lang w:val="uk-UA"/>
        </w:rPr>
        <w:t>,</w:t>
      </w:r>
      <w:r w:rsidRPr="008D286A">
        <w:rPr>
          <w:rFonts w:ascii="Times New Roman" w:hAnsi="Times New Roman" w:cs="Times New Roman"/>
          <w:iCs/>
          <w:sz w:val="28"/>
          <w:szCs w:val="28"/>
          <w:lang w:val="uk-UA"/>
        </w:rPr>
        <w:t xml:space="preserve"> опрацювавши законопр</w:t>
      </w:r>
      <w:r>
        <w:rPr>
          <w:rFonts w:ascii="Times New Roman" w:hAnsi="Times New Roman" w:cs="Times New Roman"/>
          <w:iCs/>
          <w:sz w:val="28"/>
          <w:szCs w:val="28"/>
          <w:lang w:val="uk-UA"/>
        </w:rPr>
        <w:t>о</w:t>
      </w:r>
      <w:r w:rsidRPr="008D286A">
        <w:rPr>
          <w:rFonts w:ascii="Times New Roman" w:hAnsi="Times New Roman" w:cs="Times New Roman"/>
          <w:iCs/>
          <w:sz w:val="28"/>
          <w:szCs w:val="28"/>
          <w:lang w:val="uk-UA"/>
        </w:rPr>
        <w:t>єкт № 3711-2</w:t>
      </w:r>
      <w:r w:rsidR="00947749">
        <w:rPr>
          <w:rFonts w:ascii="Times New Roman" w:hAnsi="Times New Roman" w:cs="Times New Roman"/>
          <w:iCs/>
          <w:sz w:val="28"/>
          <w:szCs w:val="28"/>
          <w:lang w:val="uk-UA"/>
        </w:rPr>
        <w:t>,</w:t>
      </w:r>
      <w:r w:rsidRPr="008D286A">
        <w:rPr>
          <w:rFonts w:ascii="Times New Roman" w:hAnsi="Times New Roman" w:cs="Times New Roman"/>
          <w:iCs/>
          <w:sz w:val="28"/>
          <w:szCs w:val="28"/>
          <w:lang w:val="uk-UA"/>
        </w:rPr>
        <w:t xml:space="preserve"> вважає, що </w:t>
      </w:r>
      <w:r w:rsidR="00947749">
        <w:rPr>
          <w:rFonts w:ascii="Times New Roman" w:hAnsi="Times New Roman" w:cs="Times New Roman"/>
          <w:iCs/>
          <w:sz w:val="28"/>
          <w:szCs w:val="28"/>
          <w:lang w:val="uk-UA"/>
        </w:rPr>
        <w:t>деякі із запропонованих у ньому</w:t>
      </w:r>
      <w:r w:rsidRPr="008D286A">
        <w:rPr>
          <w:rFonts w:ascii="Times New Roman" w:hAnsi="Times New Roman" w:cs="Times New Roman"/>
          <w:iCs/>
          <w:sz w:val="28"/>
          <w:szCs w:val="28"/>
          <w:lang w:val="uk-UA"/>
        </w:rPr>
        <w:t xml:space="preserve"> норм заслуговують на увагу та можуть бути враховані законодавчим органом влади.</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Зокрема, законопроєктом № 3711-2 пропонується виключити статтю 87 із Закону України «Про судоустрій і статус суддів», яка передбачає, що Громадська рада доброчесності утворюється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w:t>
      </w:r>
      <w:r w:rsidRPr="008D286A">
        <w:rPr>
          <w:rFonts w:ascii="Times New Roman" w:hAnsi="Times New Roman" w:cs="Times New Roman"/>
          <w:iCs/>
          <w:sz w:val="28"/>
          <w:szCs w:val="28"/>
          <w:lang w:val="uk-UA"/>
        </w:rPr>
        <w:lastRenderedPageBreak/>
        <w:t>кваліфікаційного оцінювання.</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Враховуючи рекомендації Венеційської комісії ОБСЄ/БДІПЛ щодо Закону України «Про судоустрій і статус суддів» №: JUD-UKR/298/2017 [RJU/AT] від 30 червня 2017 року (пункти 74</w:t>
      </w:r>
      <w:r w:rsidRPr="008D286A">
        <w:rPr>
          <w:rFonts w:ascii="Times New Roman" w:hAnsi="Times New Roman" w:cs="Times New Roman"/>
          <w:b/>
          <w:iCs/>
          <w:sz w:val="28"/>
          <w:szCs w:val="28"/>
          <w:lang w:val="uk-UA"/>
        </w:rPr>
        <w:t>–</w:t>
      </w:r>
      <w:r w:rsidR="00A359F5">
        <w:rPr>
          <w:rFonts w:ascii="Times New Roman" w:hAnsi="Times New Roman" w:cs="Times New Roman"/>
          <w:iCs/>
          <w:sz w:val="28"/>
          <w:szCs w:val="28"/>
          <w:lang w:val="uk-UA"/>
        </w:rPr>
        <w:t>76</w:t>
      </w:r>
      <w:r w:rsidRPr="008D286A">
        <w:rPr>
          <w:rFonts w:ascii="Times New Roman" w:hAnsi="Times New Roman" w:cs="Times New Roman"/>
          <w:iCs/>
          <w:sz w:val="28"/>
          <w:szCs w:val="28"/>
          <w:lang w:val="uk-UA"/>
        </w:rPr>
        <w:t>), яка наголосила: «В Україні оцінювання суддів здійснює Вища кваліфікаційна комісія суддів за сприяння Громадської ради доброчесності. Якщо повноваження Громадської ради виходять за межі повноважень суто дорадчого органу і навіть дозволяють Громадській раді суттєво впливати на результати оцінювання шляхом, фактично, накладання вето на позитивну оцінку певного судді з боку Вищої кваліфікаційної комісії суддів, то це означає, що процедура оцінювання вже не повністю належить до компетенції органу суддівського самоврядування. З огляду на слабкості, властиві ролі та діяльності Громадської ради, та на недоступність для неї тієї інформації, якою володіє Вища кваліфікаційна комісія суддів, у тому числі можливості обговорити її з відповідним суддею чи кандидатом на посаду судді, наділення Громадської ради таким впливом у встановленні відповідності судді чи кандидата суддівській посаді може мати негативні наслідки для всієї процедури оцінювання су</w:t>
      </w:r>
      <w:r w:rsidR="00A359F5">
        <w:rPr>
          <w:rFonts w:ascii="Times New Roman" w:hAnsi="Times New Roman" w:cs="Times New Roman"/>
          <w:iCs/>
          <w:sz w:val="28"/>
          <w:szCs w:val="28"/>
          <w:lang w:val="uk-UA"/>
        </w:rPr>
        <w:t>ддів/кандидатів на посаду судді</w:t>
      </w:r>
      <w:r w:rsidRPr="008D286A">
        <w:rPr>
          <w:rFonts w:ascii="Times New Roman" w:hAnsi="Times New Roman" w:cs="Times New Roman"/>
          <w:iCs/>
          <w:sz w:val="28"/>
          <w:szCs w:val="28"/>
          <w:lang w:val="uk-UA"/>
        </w:rPr>
        <w:t>» виключення Громадської ради доброчесності з процес</w:t>
      </w:r>
      <w:r w:rsidR="00A359F5">
        <w:rPr>
          <w:rFonts w:ascii="Times New Roman" w:hAnsi="Times New Roman" w:cs="Times New Roman"/>
          <w:iCs/>
          <w:sz w:val="28"/>
          <w:szCs w:val="28"/>
          <w:lang w:val="uk-UA"/>
        </w:rPr>
        <w:t>ів обрання та оцінювання суддів</w:t>
      </w:r>
      <w:r w:rsidRPr="008D286A">
        <w:rPr>
          <w:rFonts w:ascii="Times New Roman" w:hAnsi="Times New Roman" w:cs="Times New Roman"/>
          <w:iCs/>
          <w:sz w:val="28"/>
          <w:szCs w:val="28"/>
          <w:lang w:val="uk-UA"/>
        </w:rPr>
        <w:t xml:space="preserve">  пришвидшить вказані процеси та порядок призначення суддів. </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  Щодо запропонованого законопроєктом № 3711-2 утворення </w:t>
      </w:r>
      <w:r w:rsidRPr="008D286A">
        <w:rPr>
          <w:rFonts w:ascii="Times New Roman" w:hAnsi="Times New Roman" w:cs="Times New Roman"/>
          <w:bCs/>
          <w:iCs/>
          <w:sz w:val="28"/>
          <w:szCs w:val="28"/>
          <w:lang w:val="uk-UA"/>
        </w:rPr>
        <w:t>Кваліфікаційної палати Вищої ради правосуддя замість Вищої кваліфікаційної комісії суддів України зазначаємо</w:t>
      </w:r>
      <w:r w:rsidRPr="008D286A">
        <w:rPr>
          <w:rFonts w:ascii="Times New Roman" w:hAnsi="Times New Roman" w:cs="Times New Roman"/>
          <w:b/>
          <w:bCs/>
          <w:iCs/>
          <w:sz w:val="28"/>
          <w:szCs w:val="28"/>
          <w:lang w:val="uk-UA"/>
        </w:rPr>
        <w:t xml:space="preserve"> </w:t>
      </w:r>
      <w:r w:rsidRPr="008D286A">
        <w:rPr>
          <w:rFonts w:ascii="Times New Roman" w:hAnsi="Times New Roman" w:cs="Times New Roman"/>
          <w:bCs/>
          <w:iCs/>
          <w:sz w:val="28"/>
          <w:szCs w:val="28"/>
          <w:lang w:val="uk-UA"/>
        </w:rPr>
        <w:t>таке.</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Зважаючи, що наразі існує два органи – Вища рада правосуддя та Вища кваліфікаційна комісія суддів України, функції яких частково дуб</w:t>
      </w:r>
      <w:r w:rsidR="00A359F5">
        <w:rPr>
          <w:rFonts w:ascii="Times New Roman" w:hAnsi="Times New Roman" w:cs="Times New Roman"/>
          <w:iCs/>
          <w:sz w:val="28"/>
          <w:szCs w:val="28"/>
          <w:lang w:val="uk-UA"/>
        </w:rPr>
        <w:t xml:space="preserve">люються,  вважається доцільним </w:t>
      </w:r>
      <w:r w:rsidRPr="008D286A">
        <w:rPr>
          <w:rFonts w:ascii="Times New Roman" w:hAnsi="Times New Roman" w:cs="Times New Roman"/>
          <w:iCs/>
          <w:sz w:val="28"/>
          <w:szCs w:val="28"/>
          <w:lang w:val="uk-UA"/>
        </w:rPr>
        <w:t>у майбутньому надати більш широкі повноваження Вищій раді прав</w:t>
      </w:r>
      <w:r w:rsidR="00A278C8">
        <w:rPr>
          <w:rFonts w:ascii="Times New Roman" w:hAnsi="Times New Roman" w:cs="Times New Roman"/>
          <w:iCs/>
          <w:sz w:val="28"/>
          <w:szCs w:val="28"/>
          <w:lang w:val="uk-UA"/>
        </w:rPr>
        <w:t xml:space="preserve">осуддя </w:t>
      </w:r>
      <w:r w:rsidRPr="008D286A">
        <w:rPr>
          <w:rFonts w:ascii="Times New Roman" w:hAnsi="Times New Roman" w:cs="Times New Roman"/>
          <w:iCs/>
          <w:sz w:val="28"/>
          <w:szCs w:val="28"/>
          <w:lang w:val="uk-UA"/>
        </w:rPr>
        <w:t xml:space="preserve"> як конституційному органу.   </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Вбачається логічним, </w:t>
      </w:r>
      <w:r w:rsidR="00A278C8">
        <w:rPr>
          <w:rFonts w:ascii="Times New Roman" w:hAnsi="Times New Roman" w:cs="Times New Roman"/>
          <w:iCs/>
          <w:sz w:val="28"/>
          <w:szCs w:val="28"/>
          <w:lang w:val="uk-UA"/>
        </w:rPr>
        <w:t>що саме на Вищу раду правосуддя</w:t>
      </w:r>
      <w:r w:rsidRPr="008D286A">
        <w:rPr>
          <w:rFonts w:ascii="Times New Roman" w:hAnsi="Times New Roman" w:cs="Times New Roman"/>
          <w:iCs/>
          <w:sz w:val="28"/>
          <w:szCs w:val="28"/>
          <w:lang w:val="uk-UA"/>
        </w:rPr>
        <w:t xml:space="preserve"> як на конституційни</w:t>
      </w:r>
      <w:r w:rsidR="00A278C8">
        <w:rPr>
          <w:rFonts w:ascii="Times New Roman" w:hAnsi="Times New Roman" w:cs="Times New Roman"/>
          <w:iCs/>
          <w:sz w:val="28"/>
          <w:szCs w:val="28"/>
          <w:lang w:val="uk-UA"/>
        </w:rPr>
        <w:t>й орган суддівського врядування</w:t>
      </w:r>
      <w:r w:rsidRPr="008D286A">
        <w:rPr>
          <w:rFonts w:ascii="Times New Roman" w:hAnsi="Times New Roman" w:cs="Times New Roman"/>
          <w:iCs/>
          <w:sz w:val="28"/>
          <w:szCs w:val="28"/>
          <w:lang w:val="uk-UA"/>
        </w:rPr>
        <w:t xml:space="preserve"> може бути покладено  відповідальність за питання суддівської кар’єри від початку до ухвалення рішення про внесення відповідного подання суб’єкту призначення, а отже</w:t>
      </w:r>
      <w:r w:rsidR="00A359F5">
        <w:rPr>
          <w:rFonts w:ascii="Times New Roman" w:hAnsi="Times New Roman" w:cs="Times New Roman"/>
          <w:iCs/>
          <w:sz w:val="28"/>
          <w:szCs w:val="28"/>
          <w:lang w:val="uk-UA"/>
        </w:rPr>
        <w:t>,</w:t>
      </w:r>
      <w:r w:rsidRPr="008D286A">
        <w:rPr>
          <w:rFonts w:ascii="Times New Roman" w:hAnsi="Times New Roman" w:cs="Times New Roman"/>
          <w:iCs/>
          <w:sz w:val="28"/>
          <w:szCs w:val="28"/>
          <w:lang w:val="uk-UA"/>
        </w:rPr>
        <w:t xml:space="preserve">   покладено формування порядку щодо добору та кваліфікаційного оцінювання суддів, що на даний час віднесено до  повноважень Вищої кваліфікаційної комісії суддів України. </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Підвищення інституційної спроможності Вищої ради правосуддя стане істотною гарантією незалежності судової влади та забезпечить актуальність законодавства, що має змінюватися у разі зміни вимог та викликів, поставлених суспільством. Разом </w:t>
      </w:r>
      <w:r w:rsidR="00A359F5">
        <w:rPr>
          <w:rFonts w:ascii="Times New Roman" w:hAnsi="Times New Roman" w:cs="Times New Roman"/>
          <w:iCs/>
          <w:sz w:val="28"/>
          <w:szCs w:val="28"/>
          <w:lang w:val="uk-UA"/>
        </w:rPr>
        <w:t>із т</w:t>
      </w:r>
      <w:r w:rsidRPr="008D286A">
        <w:rPr>
          <w:rFonts w:ascii="Times New Roman" w:hAnsi="Times New Roman" w:cs="Times New Roman"/>
          <w:iCs/>
          <w:sz w:val="28"/>
          <w:szCs w:val="28"/>
          <w:lang w:val="uk-UA"/>
        </w:rPr>
        <w:t>им, внесення таких змін потребує внесення змін до Конституції України та спеціального законодавства.</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Вказане узгоджується з рекомендаціями європейських інституцій. </w:t>
      </w:r>
      <w:r w:rsidR="00A278C8">
        <w:rPr>
          <w:rFonts w:ascii="Times New Roman" w:hAnsi="Times New Roman" w:cs="Times New Roman"/>
          <w:iCs/>
          <w:sz w:val="28"/>
          <w:szCs w:val="28"/>
          <w:lang w:val="uk-UA"/>
        </w:rPr>
        <w:t>У</w:t>
      </w:r>
      <w:r w:rsidRPr="008D286A">
        <w:rPr>
          <w:rFonts w:ascii="Times New Roman" w:hAnsi="Times New Roman" w:cs="Times New Roman"/>
          <w:iCs/>
          <w:sz w:val="28"/>
          <w:szCs w:val="28"/>
          <w:lang w:val="uk-UA"/>
        </w:rPr>
        <w:t xml:space="preserve"> 2007 році Венеційська комісія, надаючи </w:t>
      </w:r>
      <w:hyperlink r:id="rId7" w:tgtFrame="_blank" w:history="1">
        <w:r w:rsidRPr="008D286A">
          <w:rPr>
            <w:rStyle w:val="a7"/>
            <w:rFonts w:ascii="Times New Roman" w:hAnsi="Times New Roman" w:cs="Times New Roman"/>
            <w:iCs/>
            <w:color w:val="auto"/>
            <w:sz w:val="28"/>
            <w:szCs w:val="28"/>
            <w:u w:val="none"/>
            <w:lang w:val="uk-UA"/>
          </w:rPr>
          <w:t>висновок</w:t>
        </w:r>
      </w:hyperlink>
      <w:r w:rsidR="0069371A">
        <w:rPr>
          <w:rFonts w:ascii="Times New Roman" w:hAnsi="Times New Roman" w:cs="Times New Roman"/>
          <w:iCs/>
          <w:sz w:val="28"/>
          <w:szCs w:val="28"/>
          <w:lang w:val="uk-UA"/>
        </w:rPr>
        <w:t>  № 401/2006 стосовно проє</w:t>
      </w:r>
      <w:r w:rsidRPr="008D286A">
        <w:rPr>
          <w:rFonts w:ascii="Times New Roman" w:hAnsi="Times New Roman" w:cs="Times New Roman"/>
          <w:iCs/>
          <w:sz w:val="28"/>
          <w:szCs w:val="28"/>
          <w:lang w:val="uk-UA"/>
        </w:rPr>
        <w:t xml:space="preserve">ктів законів про судоустрій і статус суддів, вказувала, що «немає потреби в окремій Вищій кваліфікаційній комісії і її повноваження необхідно передати Вищій раді юстиції, більшість якої складають судді» (пункт 23).  На переконання Венеційської комісії, для забезпечення узгодженого підходу до судової кар'єри Вища кваліфікаційна комісія суддів України повинна стати частиною Вищої ради правосуддя, «можливо, як підрозділ, що відповідає за добір кандидатів на </w:t>
      </w:r>
      <w:r w:rsidRPr="008D286A">
        <w:rPr>
          <w:rFonts w:ascii="Times New Roman" w:hAnsi="Times New Roman" w:cs="Times New Roman"/>
          <w:iCs/>
          <w:sz w:val="28"/>
          <w:szCs w:val="28"/>
          <w:lang w:val="uk-UA"/>
        </w:rPr>
        <w:lastRenderedPageBreak/>
        <w:t xml:space="preserve">суддівські посади». При цьому Венеційська комісія також вказала, що не існує жодного європейського стандарту, який би визначав, що </w:t>
      </w:r>
      <w:r w:rsidR="0069371A">
        <w:rPr>
          <w:rFonts w:ascii="Times New Roman" w:hAnsi="Times New Roman" w:cs="Times New Roman"/>
          <w:iCs/>
          <w:sz w:val="28"/>
          <w:szCs w:val="28"/>
          <w:lang w:val="uk-UA"/>
        </w:rPr>
        <w:t>питання щодо призначення та кар</w:t>
      </w:r>
      <w:r w:rsidR="0069371A" w:rsidRPr="008D286A">
        <w:rPr>
          <w:rFonts w:ascii="Times New Roman" w:hAnsi="Times New Roman" w:cs="Times New Roman"/>
          <w:iCs/>
          <w:sz w:val="28"/>
          <w:szCs w:val="28"/>
          <w:lang w:val="uk-UA"/>
        </w:rPr>
        <w:t>’єри</w:t>
      </w:r>
      <w:r w:rsidRPr="008D286A">
        <w:rPr>
          <w:rFonts w:ascii="Times New Roman" w:hAnsi="Times New Roman" w:cs="Times New Roman"/>
          <w:iCs/>
          <w:sz w:val="28"/>
          <w:szCs w:val="28"/>
          <w:lang w:val="uk-UA"/>
        </w:rPr>
        <w:t xml:space="preserve"> суддів повинні розглядатися одним органом (висновок Венеційської комісії щодо пропозицій внесення змін до законопроекту «Про внесення змін до Конституції України щодо посилення гарантій незалежності суддів» від 10 грудня </w:t>
      </w:r>
      <w:r w:rsidR="0069371A">
        <w:rPr>
          <w:rFonts w:ascii="Times New Roman" w:hAnsi="Times New Roman" w:cs="Times New Roman"/>
          <w:iCs/>
          <w:sz w:val="28"/>
          <w:szCs w:val="28"/>
          <w:lang w:val="uk-UA"/>
        </w:rPr>
        <w:t>2013 року № С0І_-А0(2013)034, пункт</w:t>
      </w:r>
      <w:r w:rsidRPr="008D286A">
        <w:rPr>
          <w:rFonts w:ascii="Times New Roman" w:hAnsi="Times New Roman" w:cs="Times New Roman"/>
          <w:iCs/>
          <w:sz w:val="28"/>
          <w:szCs w:val="28"/>
          <w:lang w:val="uk-UA"/>
        </w:rPr>
        <w:t xml:space="preserve"> 35).</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Фінансове забезпечення судів і суддів є невід’ємною складовою незалежності як окремого судді, так і судової влади загалом.</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У зв’язку </w:t>
      </w:r>
      <w:r w:rsidR="0069371A">
        <w:rPr>
          <w:rFonts w:ascii="Times New Roman" w:hAnsi="Times New Roman" w:cs="Times New Roman"/>
          <w:iCs/>
          <w:sz w:val="28"/>
          <w:szCs w:val="28"/>
          <w:lang w:val="uk-UA"/>
        </w:rPr>
        <w:t>і</w:t>
      </w:r>
      <w:r w:rsidRPr="008D286A">
        <w:rPr>
          <w:rFonts w:ascii="Times New Roman" w:hAnsi="Times New Roman" w:cs="Times New Roman"/>
          <w:iCs/>
          <w:sz w:val="28"/>
          <w:szCs w:val="28"/>
          <w:lang w:val="uk-UA"/>
        </w:rPr>
        <w:t>з цим Вища рада правосуддя підтримує норму законопроєкт</w:t>
      </w:r>
      <w:r w:rsidR="002309F5">
        <w:rPr>
          <w:rFonts w:ascii="Times New Roman" w:hAnsi="Times New Roman" w:cs="Times New Roman"/>
          <w:iCs/>
          <w:sz w:val="28"/>
          <w:szCs w:val="28"/>
          <w:lang w:val="uk-UA"/>
        </w:rPr>
        <w:t>у</w:t>
      </w:r>
      <w:r w:rsidRPr="008D286A">
        <w:rPr>
          <w:rFonts w:ascii="Times New Roman" w:hAnsi="Times New Roman" w:cs="Times New Roman"/>
          <w:iCs/>
          <w:sz w:val="28"/>
          <w:szCs w:val="28"/>
          <w:lang w:val="uk-UA"/>
        </w:rPr>
        <w:t xml:space="preserve">                  № 3711-2 щодо захисту видатків на утримання судів, видатки щодо добору суддів,  їх професійної підготовки та оцінювання від скорочення в поточному фінансовому році.</w:t>
      </w:r>
    </w:p>
    <w:p w:rsidR="008D286A" w:rsidRPr="008D286A" w:rsidRDefault="002B25C5"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Так, відповідно до частини першої статті </w:t>
      </w:r>
      <w:r w:rsidR="008D286A" w:rsidRPr="008D286A">
        <w:rPr>
          <w:rFonts w:ascii="Times New Roman" w:hAnsi="Times New Roman" w:cs="Times New Roman"/>
          <w:iCs/>
          <w:sz w:val="28"/>
          <w:szCs w:val="28"/>
          <w:lang w:val="uk-UA"/>
        </w:rPr>
        <w:t>130 Конституції України держава забезпечує фінансування та належні умови для функціонування судів і діяльності суддів, а у Державному бюджеті України окремо визначаються видатки на утримання судів з урахуванням пропозицій Вищої ради правосуддя.</w:t>
      </w:r>
    </w:p>
    <w:p w:rsidR="008D286A" w:rsidRPr="008D286A" w:rsidRDefault="002B25C5"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Pr>
          <w:rFonts w:ascii="Times New Roman" w:hAnsi="Times New Roman" w:cs="Times New Roman"/>
          <w:iCs/>
          <w:sz w:val="28"/>
          <w:szCs w:val="28"/>
          <w:lang w:val="uk-UA"/>
        </w:rPr>
        <w:t>Постійні законодавчі зміни щодо</w:t>
      </w:r>
      <w:r w:rsidR="008D286A" w:rsidRPr="008D286A">
        <w:rPr>
          <w:rFonts w:ascii="Times New Roman" w:hAnsi="Times New Roman" w:cs="Times New Roman"/>
          <w:iCs/>
          <w:sz w:val="28"/>
          <w:szCs w:val="28"/>
          <w:lang w:val="uk-UA"/>
        </w:rPr>
        <w:t xml:space="preserve"> вид</w:t>
      </w:r>
      <w:r w:rsidR="0069371A">
        <w:rPr>
          <w:rFonts w:ascii="Times New Roman" w:hAnsi="Times New Roman" w:cs="Times New Roman"/>
          <w:iCs/>
          <w:sz w:val="28"/>
          <w:szCs w:val="28"/>
          <w:lang w:val="uk-UA"/>
        </w:rPr>
        <w:t>атків на утримання судів створюють</w:t>
      </w:r>
      <w:r w:rsidR="008D286A" w:rsidRPr="008D286A">
        <w:rPr>
          <w:rFonts w:ascii="Times New Roman" w:hAnsi="Times New Roman" w:cs="Times New Roman"/>
          <w:iCs/>
          <w:sz w:val="28"/>
          <w:szCs w:val="28"/>
          <w:lang w:val="uk-UA"/>
        </w:rPr>
        <w:t xml:space="preserve"> суттєві ризики щодо належного виконання державою функцій зі здійснення правосуддя та зумовлює перешкоди для належного захисту прав і свобод людини, а в разі їх порушення – справедливого відновлення прав і свобод людини в розумні строки.</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При цьому Конституційний Суд України неодноразово та послідовно вказував на те, що однією з конституційних гарантій незалежності суддів є особливий порядок фінансування судів; встановлена система гарантій незалежності суддів не є їхнім особистим привілеєм.</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Конституційний Суд України у рішеннях від 20 березня 2002 року                                № 5-рп/2002, від 1 грудня 2004 року  № 19-рп/2004, від 11 жовтня 2005 року               № 8-рп/2005, від 22 травня 2008 року № 10-рп/2008, від 3 червня 2013 року                № 3-рп/2013, від 8 червня 2016 року № 4-рп/2016, від 4 грудня 2018 року № 11-р/2018, від 18 лютого 2020 </w:t>
      </w:r>
      <w:r w:rsidR="002309F5">
        <w:rPr>
          <w:rFonts w:ascii="Times New Roman" w:hAnsi="Times New Roman" w:cs="Times New Roman"/>
          <w:iCs/>
          <w:sz w:val="28"/>
          <w:szCs w:val="28"/>
          <w:lang w:val="uk-UA"/>
        </w:rPr>
        <w:t xml:space="preserve">року </w:t>
      </w:r>
      <w:r w:rsidRPr="008D286A">
        <w:rPr>
          <w:rFonts w:ascii="Times New Roman" w:hAnsi="Times New Roman" w:cs="Times New Roman"/>
          <w:iCs/>
          <w:sz w:val="28"/>
          <w:szCs w:val="28"/>
          <w:lang w:val="uk-UA"/>
        </w:rPr>
        <w:t>№ 2-р/2020 висловив правову позицію стосовно гарантій незалежності суддів. Такими гарантіями є надання суддям за рахунок держави матеріального забезпечення (суддівська винагорода, пенсія, щомісячне довічне грошове утримання тощо) та можливості набуття статусу судді у відставці. Конституційний принцип незалежності суддів означає, у тому числі, конституційно обумовлений імператив охорони матеріального забезпечення суддів від його скасування чи зниження досягнутого рівня без відповідної компенсації як гарантію недопущення впливу або втручання у здійснення правосуддя.</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На цьому також постійно наголошує Вища рада правосуддя у своїх консультативних висновках, з</w:t>
      </w:r>
      <w:r w:rsidR="002309F5">
        <w:rPr>
          <w:rFonts w:ascii="Times New Roman" w:hAnsi="Times New Roman" w:cs="Times New Roman"/>
          <w:iCs/>
          <w:sz w:val="28"/>
          <w:szCs w:val="28"/>
          <w:lang w:val="uk-UA"/>
        </w:rPr>
        <w:t>окрема</w:t>
      </w:r>
      <w:r w:rsidR="0069371A">
        <w:rPr>
          <w:rFonts w:ascii="Times New Roman" w:hAnsi="Times New Roman" w:cs="Times New Roman"/>
          <w:iCs/>
          <w:sz w:val="28"/>
          <w:szCs w:val="28"/>
          <w:lang w:val="uk-UA"/>
        </w:rPr>
        <w:t>:</w:t>
      </w:r>
      <w:r w:rsidR="002309F5">
        <w:rPr>
          <w:rFonts w:ascii="Times New Roman" w:hAnsi="Times New Roman" w:cs="Times New Roman"/>
          <w:iCs/>
          <w:sz w:val="28"/>
          <w:szCs w:val="28"/>
          <w:lang w:val="uk-UA"/>
        </w:rPr>
        <w:t xml:space="preserve">  щодо проє</w:t>
      </w:r>
      <w:r w:rsidRPr="008D286A">
        <w:rPr>
          <w:rFonts w:ascii="Times New Roman" w:hAnsi="Times New Roman" w:cs="Times New Roman"/>
          <w:iCs/>
          <w:sz w:val="28"/>
          <w:szCs w:val="28"/>
          <w:lang w:val="uk-UA"/>
        </w:rPr>
        <w:t>кту Закону України «Про внесення змін до Закону України «Про Державний бюджет України на 2020 рік» від 29 березня 2020 року (реєстраційний № 3279)</w:t>
      </w:r>
      <w:r w:rsidRPr="008D286A">
        <w:rPr>
          <w:rFonts w:ascii="Times New Roman" w:hAnsi="Times New Roman" w:cs="Times New Roman"/>
          <w:lang w:val="uk-UA"/>
        </w:rPr>
        <w:t xml:space="preserve"> </w:t>
      </w:r>
      <w:r w:rsidRPr="008D286A">
        <w:rPr>
          <w:rFonts w:ascii="Times New Roman" w:hAnsi="Times New Roman" w:cs="Times New Roman"/>
          <w:iCs/>
          <w:sz w:val="28"/>
          <w:szCs w:val="28"/>
          <w:lang w:val="uk-UA"/>
        </w:rPr>
        <w:t>(рішення Вищої ради правосуддя від 30 березня 2020 року № 881/0/15-20);</w:t>
      </w:r>
      <w:r w:rsidRPr="008D286A">
        <w:rPr>
          <w:rFonts w:ascii="Times New Roman" w:hAnsi="Times New Roman" w:cs="Times New Roman"/>
          <w:lang w:val="uk-UA"/>
        </w:rPr>
        <w:t xml:space="preserve"> </w:t>
      </w:r>
      <w:r w:rsidR="002309F5">
        <w:rPr>
          <w:rFonts w:ascii="Times New Roman" w:hAnsi="Times New Roman" w:cs="Times New Roman"/>
          <w:iCs/>
          <w:sz w:val="28"/>
          <w:szCs w:val="28"/>
          <w:lang w:val="uk-UA"/>
        </w:rPr>
        <w:t>щодо проє</w:t>
      </w:r>
      <w:r w:rsidRPr="008D286A">
        <w:rPr>
          <w:rFonts w:ascii="Times New Roman" w:hAnsi="Times New Roman" w:cs="Times New Roman"/>
          <w:iCs/>
          <w:sz w:val="28"/>
          <w:szCs w:val="28"/>
          <w:lang w:val="uk-UA"/>
        </w:rPr>
        <w:t xml:space="preserve">кту Закону України «Про внесення змін до Закону України «Про Державний бюджет України на 2020 рік» від 11 квітня 2020 року (реєстраційний № 3279-д) (рішення Вищої ради правосуддя від13 квітня 2020 року № 972/0/15-20) тощо. </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lastRenderedPageBreak/>
        <w:t xml:space="preserve">Разом </w:t>
      </w:r>
      <w:r w:rsidR="0069371A">
        <w:rPr>
          <w:rFonts w:ascii="Times New Roman" w:hAnsi="Times New Roman" w:cs="Times New Roman"/>
          <w:iCs/>
          <w:sz w:val="28"/>
          <w:szCs w:val="28"/>
          <w:lang w:val="uk-UA"/>
        </w:rPr>
        <w:t>і</w:t>
      </w:r>
      <w:r w:rsidRPr="008D286A">
        <w:rPr>
          <w:rFonts w:ascii="Times New Roman" w:hAnsi="Times New Roman" w:cs="Times New Roman"/>
          <w:iCs/>
          <w:sz w:val="28"/>
          <w:szCs w:val="28"/>
          <w:lang w:val="uk-UA"/>
        </w:rPr>
        <w:t xml:space="preserve">з </w:t>
      </w:r>
      <w:r w:rsidR="0069371A">
        <w:rPr>
          <w:rFonts w:ascii="Times New Roman" w:hAnsi="Times New Roman" w:cs="Times New Roman"/>
          <w:iCs/>
          <w:sz w:val="28"/>
          <w:szCs w:val="28"/>
          <w:lang w:val="uk-UA"/>
        </w:rPr>
        <w:t>т</w:t>
      </w:r>
      <w:r w:rsidRPr="008D286A">
        <w:rPr>
          <w:rFonts w:ascii="Times New Roman" w:hAnsi="Times New Roman" w:cs="Times New Roman"/>
          <w:iCs/>
          <w:sz w:val="28"/>
          <w:szCs w:val="28"/>
          <w:lang w:val="uk-UA"/>
        </w:rPr>
        <w:t xml:space="preserve">им варто зазначити, що у своєму рішенні від 25 червня 2020 року № 1983/0/15-20  «Про узагальнення пропозицій судів, органів та установ </w:t>
      </w:r>
      <w:r w:rsidR="002309F5">
        <w:rPr>
          <w:rFonts w:ascii="Times New Roman" w:hAnsi="Times New Roman" w:cs="Times New Roman"/>
          <w:iCs/>
          <w:sz w:val="28"/>
          <w:szCs w:val="28"/>
          <w:lang w:val="uk-UA"/>
        </w:rPr>
        <w:t>системи правосуддя стосовно проє</w:t>
      </w:r>
      <w:r w:rsidRPr="008D286A">
        <w:rPr>
          <w:rFonts w:ascii="Times New Roman" w:hAnsi="Times New Roman" w:cs="Times New Roman"/>
          <w:iCs/>
          <w:sz w:val="28"/>
          <w:szCs w:val="28"/>
          <w:lang w:val="uk-UA"/>
        </w:rPr>
        <w:t>кту Постанови Верховної Ради України «Про схвалення Концепції першочергових заходів із подальшого здійснення судової реформи в Україні» (реєстраційний № 3521 від  21 травня 2020 року)» Вища рада правосуддя наголошувала на такому.</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Наразі в Законі України «Про судоустрій і статус суддів» має місце диференціація функцій головного розпорядника коштів Державного бюджету України лише в частині щодо фінансового забезпечення діяльності судів. Так, відповідно до частини третьої статті 148 цього Закону функції головного розпорядника коштів Державного бюджету України щодо фінансового забезпечення діяльності судів здійснюють: Верховний Суд щодо фінансового забезпечення його діяльності; вищий спеціалізований суд щодо фінансового забезпечення його діяльності; Державна судова адміністрація України щодо фінансового забезпечення діяльності всіх інших судів, діяльності Вищої кваліфікаційної комісії суддів України, органів суддівського самоврядування, Національної школи суддів України, Служби судової охорони та Державної судової адміністрації України; Вища рада правосуддя щодо фінансового забезпечення її діяльності.</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З огляду на вказане саме Вища рада правосуддя має бути кінцевою інстанцією, яка з метою забезпечення незалежності суддів та авторитету правосуддя здійснює погодження фінансового забезпечення діяльності усіх судів.</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Щодо запропонованої правової конструкції у Законі України «Про Вищу раду правосуддя» положень про утворення Громадської ради міжнародних експертів як консультативного органу Вищої ради правосуддя, що утворюється Вищою радою правосуддя для сприяння їй у питаннях визначення кількісного складу суддів у судах, навантаження суддів та інших питань, вважаємо за доцільне зазначити таке.</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Відповідно до статті 1 Закону України «Про Вищу раду правосуддя» 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Конституції і законів України, а також професійної етики в діяльності суддів і прокурорів. Також варто зазначити, що частиною четвертою  статті 21 Закону України «Про Вищу раду правосуддя» визначено, що член Вищої ради правосуддя у своїй діяльності є незалежним від будь-якого незаконного впливу, тиску або втручання. На цьому також наголошувала у своїх висновках Консультативна рада європейських суддів.</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Разом із тим за приписами частини першої статті 3 «Повноваження Вищої ради правосуддя» Закону</w:t>
      </w:r>
      <w:r w:rsidRPr="008D286A">
        <w:rPr>
          <w:rFonts w:ascii="Times New Roman" w:hAnsi="Times New Roman" w:cs="Times New Roman"/>
          <w:lang w:val="uk-UA"/>
        </w:rPr>
        <w:t xml:space="preserve"> </w:t>
      </w:r>
      <w:r w:rsidRPr="008D286A">
        <w:rPr>
          <w:rFonts w:ascii="Times New Roman" w:hAnsi="Times New Roman" w:cs="Times New Roman"/>
          <w:iCs/>
          <w:sz w:val="28"/>
          <w:szCs w:val="28"/>
          <w:lang w:val="uk-UA"/>
        </w:rPr>
        <w:t>України «Про Вищу раду правосуддя» до повноважень Вищої ради правосуддя належить, зокрема,  утворення органів для розгляду справ щодо дисциплінарної відповідальності суддів.</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Окрім цього, відповідно до цієї статті Вища рада правосуддя може </w:t>
      </w:r>
      <w:r w:rsidRPr="008D286A">
        <w:rPr>
          <w:rFonts w:ascii="Times New Roman" w:hAnsi="Times New Roman" w:cs="Times New Roman"/>
          <w:iCs/>
          <w:sz w:val="28"/>
          <w:szCs w:val="28"/>
          <w:lang w:val="uk-UA"/>
        </w:rPr>
        <w:lastRenderedPageBreak/>
        <w:t>залучати для виконання допоміжних і консультативних функцій органи суддівського самоврядування, установи та організації, суддів, суддів у відставці, адвокатів, прокурорів та інших спеціалістів, Громадську раду доброчесності за їхньою згодою на громадських засадах, а також у зв’язку із реалізацією визначених законом повноважень бере участь у міжнародному співробітництві, у тому числі взаємодіє з іноземними закладами, установами та організаціями з питань правосуддя.</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Відповідно до статті 26 вказаного Закону Вища рада правосуддя може утворювати інші органи для виконання повноважень, визначених </w:t>
      </w:r>
      <w:hyperlink r:id="rId8" w:tgtFrame="_blank" w:history="1">
        <w:r w:rsidRPr="008D286A">
          <w:rPr>
            <w:rStyle w:val="a7"/>
            <w:rFonts w:ascii="Times New Roman" w:hAnsi="Times New Roman" w:cs="Times New Roman"/>
            <w:iCs/>
            <w:color w:val="auto"/>
            <w:sz w:val="28"/>
            <w:szCs w:val="28"/>
            <w:u w:val="none"/>
            <w:lang w:val="uk-UA"/>
          </w:rPr>
          <w:t>Конституцією України</w:t>
        </w:r>
      </w:hyperlink>
      <w:r w:rsidRPr="008D286A">
        <w:rPr>
          <w:rFonts w:ascii="Times New Roman" w:hAnsi="Times New Roman" w:cs="Times New Roman"/>
          <w:iCs/>
          <w:sz w:val="28"/>
          <w:szCs w:val="28"/>
          <w:lang w:val="uk-UA"/>
        </w:rPr>
        <w:t>, цим Законом та </w:t>
      </w:r>
      <w:hyperlink r:id="rId9" w:tgtFrame="_blank" w:history="1">
        <w:r w:rsidRPr="008D286A">
          <w:rPr>
            <w:rStyle w:val="a7"/>
            <w:rFonts w:ascii="Times New Roman" w:hAnsi="Times New Roman" w:cs="Times New Roman"/>
            <w:iCs/>
            <w:color w:val="auto"/>
            <w:sz w:val="28"/>
            <w:szCs w:val="28"/>
            <w:u w:val="none"/>
            <w:lang w:val="uk-UA"/>
          </w:rPr>
          <w:t>Законом України</w:t>
        </w:r>
      </w:hyperlink>
      <w:r w:rsidRPr="008D286A">
        <w:rPr>
          <w:rFonts w:ascii="Times New Roman" w:hAnsi="Times New Roman" w:cs="Times New Roman"/>
          <w:iCs/>
          <w:sz w:val="28"/>
          <w:szCs w:val="28"/>
          <w:lang w:val="uk-UA"/>
        </w:rPr>
        <w:t> «Про судоустрій і статус суддів».</w:t>
      </w:r>
      <w:r w:rsidRPr="008D286A">
        <w:rPr>
          <w:rFonts w:ascii="Times New Roman" w:hAnsi="Times New Roman" w:cs="Times New Roman"/>
          <w:lang w:val="uk-UA"/>
        </w:rPr>
        <w:t xml:space="preserve"> </w:t>
      </w:r>
      <w:r w:rsidRPr="008D286A">
        <w:rPr>
          <w:rFonts w:ascii="Times New Roman" w:hAnsi="Times New Roman" w:cs="Times New Roman"/>
          <w:iCs/>
          <w:sz w:val="28"/>
          <w:szCs w:val="28"/>
          <w:lang w:val="uk-UA"/>
        </w:rPr>
        <w:t>Рішення про утворення органів Вищої ради правосуддя та про їх персональний склад ухвалюються Вищою радою правосуддя.</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При цьому, створення таких органів не повинно суперечити приписам статей 130, 131 Конституції України  та статті 3 Закону України «Про Вищу раду правосуддя».</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Запропонована правова конструкція норми щодо створення Громадської ради міжнародних експертів не може бути підтримана, оскільки не виправдовує доцільності її утворення в частині функцій, покладених на неї як на консультативний орган.</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 xml:space="preserve">Таким чином, інші органи можуть бути створені як консультативні, з метою сприяння виконання повноважень Вищою радою правосуддя і не можуть мати впливу на ухвалення рішень Вищою радою правосуддя.  </w:t>
      </w:r>
    </w:p>
    <w:p w:rsidR="008D286A" w:rsidRPr="008D286A" w:rsidRDefault="008D286A" w:rsidP="008D286A">
      <w:pPr>
        <w:tabs>
          <w:tab w:val="left" w:pos="0"/>
        </w:tabs>
        <w:autoSpaceDE w:val="0"/>
        <w:autoSpaceDN w:val="0"/>
        <w:adjustRightInd w:val="0"/>
        <w:ind w:firstLine="567"/>
        <w:jc w:val="both"/>
        <w:rPr>
          <w:rFonts w:ascii="Times New Roman" w:hAnsi="Times New Roman" w:cs="Times New Roman"/>
          <w:iCs/>
          <w:sz w:val="28"/>
          <w:szCs w:val="28"/>
          <w:lang w:val="uk-UA"/>
        </w:rPr>
      </w:pPr>
      <w:r w:rsidRPr="008D286A">
        <w:rPr>
          <w:rFonts w:ascii="Times New Roman" w:hAnsi="Times New Roman" w:cs="Times New Roman"/>
          <w:iCs/>
          <w:sz w:val="28"/>
          <w:szCs w:val="28"/>
          <w:lang w:val="uk-UA"/>
        </w:rPr>
        <w:tab/>
      </w:r>
    </w:p>
    <w:p w:rsidR="008D286A" w:rsidRPr="008D286A" w:rsidRDefault="008D286A" w:rsidP="008D286A">
      <w:pPr>
        <w:autoSpaceDE w:val="0"/>
        <w:autoSpaceDN w:val="0"/>
        <w:adjustRightInd w:val="0"/>
        <w:ind w:firstLine="567"/>
        <w:jc w:val="both"/>
        <w:rPr>
          <w:rFonts w:ascii="Times New Roman" w:eastAsia="Calibri" w:hAnsi="Times New Roman" w:cs="Times New Roman"/>
          <w:sz w:val="28"/>
          <w:szCs w:val="28"/>
          <w:lang w:val="uk-UA" w:eastAsia="ru-RU"/>
        </w:rPr>
      </w:pPr>
      <w:r w:rsidRPr="008D286A">
        <w:rPr>
          <w:rFonts w:ascii="Times New Roman" w:hAnsi="Times New Roman" w:cs="Times New Roman"/>
          <w:sz w:val="28"/>
          <w:szCs w:val="28"/>
          <w:lang w:val="uk-UA"/>
        </w:rPr>
        <w:t>Відповідно до загальних</w:t>
      </w:r>
      <w:r w:rsidR="0069371A">
        <w:rPr>
          <w:rFonts w:ascii="Times New Roman" w:hAnsi="Times New Roman" w:cs="Times New Roman"/>
          <w:sz w:val="28"/>
          <w:szCs w:val="28"/>
          <w:lang w:val="uk-UA"/>
        </w:rPr>
        <w:t xml:space="preserve"> вимог нормотворчої техніки проє</w:t>
      </w:r>
      <w:r w:rsidRPr="008D286A">
        <w:rPr>
          <w:rFonts w:ascii="Times New Roman" w:hAnsi="Times New Roman" w:cs="Times New Roman"/>
          <w:sz w:val="28"/>
          <w:szCs w:val="28"/>
          <w:lang w:val="uk-UA"/>
        </w:rPr>
        <w:t xml:space="preserve">кти законів та нормативно-правових актів мають раціонально 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законодавчих актів.   </w:t>
      </w:r>
    </w:p>
    <w:p w:rsidR="008D286A" w:rsidRPr="008D286A" w:rsidRDefault="008D286A" w:rsidP="008D286A">
      <w:pPr>
        <w:ind w:firstLine="709"/>
        <w:jc w:val="both"/>
        <w:rPr>
          <w:rFonts w:ascii="Times New Roman" w:hAnsi="Times New Roman" w:cs="Times New Roman"/>
          <w:bCs/>
          <w:spacing w:val="-4"/>
          <w:sz w:val="28"/>
          <w:szCs w:val="28"/>
          <w:lang w:val="uk-UA"/>
        </w:rPr>
      </w:pPr>
    </w:p>
    <w:p w:rsidR="008D286A" w:rsidRPr="008D286A" w:rsidRDefault="008D286A" w:rsidP="008D286A">
      <w:pPr>
        <w:autoSpaceDE w:val="0"/>
        <w:autoSpaceDN w:val="0"/>
        <w:adjustRightInd w:val="0"/>
        <w:ind w:firstLine="567"/>
        <w:jc w:val="both"/>
        <w:rPr>
          <w:rFonts w:ascii="Times New Roman" w:eastAsia="Calibri" w:hAnsi="Times New Roman" w:cs="Times New Roman"/>
          <w:b/>
          <w:sz w:val="28"/>
          <w:szCs w:val="28"/>
          <w:lang w:val="uk-UA" w:eastAsia="ru-RU"/>
        </w:rPr>
      </w:pPr>
      <w:r w:rsidRPr="008D286A">
        <w:rPr>
          <w:rFonts w:ascii="Times New Roman" w:eastAsia="Calibri" w:hAnsi="Times New Roman" w:cs="Times New Roman"/>
          <w:b/>
          <w:sz w:val="28"/>
          <w:szCs w:val="28"/>
          <w:lang w:val="uk-UA" w:eastAsia="ru-RU"/>
        </w:rPr>
        <w:t>З огляду на зазначене Вища рада правосуддя в цілому не підтримує з</w:t>
      </w:r>
      <w:r w:rsidR="0069371A">
        <w:rPr>
          <w:rFonts w:ascii="Times New Roman" w:eastAsia="Calibri" w:hAnsi="Times New Roman" w:cs="Times New Roman"/>
          <w:b/>
          <w:sz w:val="28"/>
          <w:szCs w:val="28"/>
          <w:lang w:val="uk-UA" w:eastAsia="ru-RU"/>
        </w:rPr>
        <w:t>аконопроє</w:t>
      </w:r>
      <w:r w:rsidRPr="008D286A">
        <w:rPr>
          <w:rFonts w:ascii="Times New Roman" w:eastAsia="Calibri" w:hAnsi="Times New Roman" w:cs="Times New Roman"/>
          <w:b/>
          <w:sz w:val="28"/>
          <w:szCs w:val="28"/>
          <w:lang w:val="uk-UA" w:eastAsia="ru-RU"/>
        </w:rPr>
        <w:t>кт № 3711-2.</w:t>
      </w:r>
    </w:p>
    <w:p w:rsidR="00367A65" w:rsidRPr="008D286A" w:rsidRDefault="00367A65" w:rsidP="008D286A">
      <w:pPr>
        <w:tabs>
          <w:tab w:val="left" w:pos="3969"/>
        </w:tabs>
        <w:jc w:val="center"/>
        <w:rPr>
          <w:lang w:val="uk-UA"/>
        </w:rPr>
      </w:pPr>
    </w:p>
    <w:sectPr w:rsidR="00367A65" w:rsidRPr="008D286A" w:rsidSect="008D286A">
      <w:pgSz w:w="11906" w:h="16838"/>
      <w:pgMar w:top="1134" w:right="567" w:bottom="28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9F5" w:rsidRDefault="00A359F5" w:rsidP="008D286A">
      <w:r>
        <w:separator/>
      </w:r>
    </w:p>
  </w:endnote>
  <w:endnote w:type="continuationSeparator" w:id="0">
    <w:p w:rsidR="00A359F5" w:rsidRDefault="00A359F5" w:rsidP="008D28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9F5" w:rsidRDefault="00A359F5" w:rsidP="008D286A">
      <w:r>
        <w:separator/>
      </w:r>
    </w:p>
  </w:footnote>
  <w:footnote w:type="continuationSeparator" w:id="0">
    <w:p w:rsidR="00A359F5" w:rsidRDefault="00A359F5" w:rsidP="008D286A">
      <w:r>
        <w:continuationSeparator/>
      </w:r>
    </w:p>
  </w:footnote>
  <w:footnote w:id="1">
    <w:p w:rsidR="00A359F5" w:rsidRPr="001A04DD" w:rsidRDefault="00A359F5" w:rsidP="008D286A">
      <w:pPr>
        <w:autoSpaceDE w:val="0"/>
        <w:autoSpaceDN w:val="0"/>
        <w:adjustRightInd w:val="0"/>
        <w:jc w:val="both"/>
        <w:rPr>
          <w:rFonts w:ascii="Times New Roman" w:hAnsi="Times New Roman"/>
        </w:rPr>
      </w:pPr>
      <w:r w:rsidRPr="001A04DD">
        <w:rPr>
          <w:rStyle w:val="a6"/>
          <w:rFonts w:ascii="Times New Roman" w:hAnsi="Times New Roman"/>
        </w:rPr>
        <w:footnoteRef/>
      </w:r>
      <w:r w:rsidRPr="001A04DD">
        <w:rPr>
          <w:rFonts w:ascii="Times New Roman" w:hAnsi="Times New Roman"/>
        </w:rPr>
        <w:t xml:space="preserve"> Висновок № 10 (2007) Консультативної ради європейських суддів до уваги Комітету Міністрів</w:t>
      </w:r>
      <w:proofErr w:type="gramStart"/>
      <w:r w:rsidRPr="001A04DD">
        <w:rPr>
          <w:rFonts w:ascii="Times New Roman" w:hAnsi="Times New Roman"/>
        </w:rPr>
        <w:t xml:space="preserve"> Р</w:t>
      </w:r>
      <w:proofErr w:type="gramEnd"/>
      <w:r w:rsidRPr="001A04DD">
        <w:rPr>
          <w:rFonts w:ascii="Times New Roman" w:hAnsi="Times New Roman"/>
        </w:rPr>
        <w:t>ади Європи</w:t>
      </w:r>
    </w:p>
    <w:p w:rsidR="00A359F5" w:rsidRPr="001A04DD" w:rsidRDefault="00A359F5" w:rsidP="008D286A">
      <w:pPr>
        <w:pStyle w:val="a4"/>
        <w:jc w:val="both"/>
        <w:rPr>
          <w:rFonts w:cs="Times New Roman"/>
        </w:rPr>
      </w:pPr>
      <w:r w:rsidRPr="001A04DD">
        <w:rPr>
          <w:rFonts w:cs="Times New Roman"/>
          <w:lang w:eastAsia="ru-RU"/>
        </w:rPr>
        <w:t>щодо судової ради на службі суспільства, пункт 87.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D286A"/>
    <w:rsid w:val="001A51C5"/>
    <w:rsid w:val="002309F5"/>
    <w:rsid w:val="002B25C5"/>
    <w:rsid w:val="00367A65"/>
    <w:rsid w:val="0062082E"/>
    <w:rsid w:val="0069371A"/>
    <w:rsid w:val="00754854"/>
    <w:rsid w:val="008D286A"/>
    <w:rsid w:val="00947749"/>
    <w:rsid w:val="009C76F1"/>
    <w:rsid w:val="00A278C8"/>
    <w:rsid w:val="00A359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86A"/>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286A"/>
    <w:pPr>
      <w:widowControl/>
      <w:suppressAutoHyphens w:val="0"/>
      <w:spacing w:after="200" w:line="276" w:lineRule="auto"/>
      <w:ind w:left="720"/>
      <w:contextualSpacing/>
    </w:pPr>
    <w:rPr>
      <w:rFonts w:ascii="Times New Roman" w:eastAsia="Calibri" w:hAnsi="Times New Roman" w:cs="Calibri"/>
      <w:kern w:val="0"/>
      <w:sz w:val="28"/>
      <w:szCs w:val="22"/>
      <w:lang w:val="uk-UA" w:eastAsia="en-US" w:bidi="ar-SA"/>
    </w:rPr>
  </w:style>
  <w:style w:type="paragraph" w:styleId="a4">
    <w:name w:val="footnote text"/>
    <w:basedOn w:val="a"/>
    <w:link w:val="a5"/>
    <w:uiPriority w:val="99"/>
    <w:rsid w:val="008D286A"/>
    <w:pPr>
      <w:widowControl/>
      <w:suppressAutoHyphens w:val="0"/>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8D286A"/>
    <w:rPr>
      <w:rFonts w:eastAsia="Calibri" w:cs="Calibri"/>
      <w:sz w:val="20"/>
      <w:szCs w:val="20"/>
    </w:rPr>
  </w:style>
  <w:style w:type="character" w:styleId="a6">
    <w:name w:val="footnote reference"/>
    <w:basedOn w:val="a0"/>
    <w:uiPriority w:val="99"/>
    <w:rsid w:val="008D286A"/>
    <w:rPr>
      <w:rFonts w:cs="Times New Roman"/>
      <w:vertAlign w:val="superscript"/>
    </w:rPr>
  </w:style>
  <w:style w:type="character" w:styleId="a7">
    <w:name w:val="Hyperlink"/>
    <w:basedOn w:val="a0"/>
    <w:uiPriority w:val="99"/>
    <w:unhideWhenUsed/>
    <w:rsid w:val="008D28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webSettings" Target="webSettings.xml"/><Relationship Id="rId7" Type="http://schemas.openxmlformats.org/officeDocument/2006/relationships/hyperlink" Target="https://www.venice.coe.int/webforms/documents/default.aspx?pdffile=CDL-AD(2007)003-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1402-19"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12354</Words>
  <Characters>7042</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6</cp:revision>
  <dcterms:created xsi:type="dcterms:W3CDTF">2020-07-15T08:17:00Z</dcterms:created>
  <dcterms:modified xsi:type="dcterms:W3CDTF">2020-07-15T08:57:00Z</dcterms:modified>
</cp:coreProperties>
</file>