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77F" w:rsidRPr="00DA077F" w:rsidRDefault="00DA077F" w:rsidP="00DA077F">
      <w:pPr>
        <w:spacing w:before="360" w:after="60"/>
        <w:jc w:val="center"/>
        <w:rPr>
          <w:rFonts w:ascii="AcademyC" w:hAnsi="AcademyC"/>
          <w:b/>
          <w:color w:val="002060"/>
          <w:sz w:val="24"/>
          <w:szCs w:val="24"/>
        </w:rPr>
      </w:pPr>
      <w:r w:rsidRPr="00DA077F">
        <w:rPr>
          <w:rFonts w:ascii="AcademyC" w:hAnsi="AcademyC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8E82AE5" wp14:editId="7DC29B55">
            <wp:simplePos x="0" y="0"/>
            <wp:positionH relativeFrom="column">
              <wp:posOffset>2898775</wp:posOffset>
            </wp:positionH>
            <wp:positionV relativeFrom="paragraph">
              <wp:posOffset>-521335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077F">
        <w:rPr>
          <w:rFonts w:ascii="AcademyC" w:hAnsi="AcademyC"/>
          <w:b/>
          <w:color w:val="002060"/>
          <w:sz w:val="24"/>
          <w:szCs w:val="24"/>
        </w:rPr>
        <w:t>УКРАЇНА</w:t>
      </w:r>
    </w:p>
    <w:p w:rsidR="00DA077F" w:rsidRPr="00DA077F" w:rsidRDefault="00DA077F" w:rsidP="00DA077F">
      <w:pPr>
        <w:spacing w:after="60"/>
        <w:jc w:val="center"/>
        <w:rPr>
          <w:rFonts w:ascii="AcademyC" w:hAnsi="AcademyC"/>
          <w:b/>
          <w:color w:val="002060"/>
          <w:sz w:val="26"/>
          <w:szCs w:val="26"/>
        </w:rPr>
      </w:pPr>
      <w:r w:rsidRPr="00DA077F">
        <w:rPr>
          <w:rFonts w:ascii="AcademyC" w:hAnsi="AcademyC"/>
          <w:b/>
          <w:color w:val="002060"/>
          <w:sz w:val="26"/>
          <w:szCs w:val="26"/>
        </w:rPr>
        <w:t>ВИЩА  РАДА  ПРАВОСУДДЯ</w:t>
      </w:r>
    </w:p>
    <w:p w:rsidR="00DA077F" w:rsidRPr="00DA077F" w:rsidRDefault="00DA077F" w:rsidP="00DA077F">
      <w:pPr>
        <w:spacing w:after="240"/>
        <w:jc w:val="center"/>
        <w:rPr>
          <w:rFonts w:ascii="AcademyC" w:hAnsi="AcademyC"/>
          <w:b/>
          <w:color w:val="002060"/>
          <w:sz w:val="26"/>
          <w:szCs w:val="26"/>
        </w:rPr>
      </w:pPr>
      <w:r w:rsidRPr="00DA077F">
        <w:rPr>
          <w:rFonts w:ascii="AcademyC" w:hAnsi="AcademyC"/>
          <w:b/>
          <w:color w:val="002060"/>
          <w:sz w:val="26"/>
          <w:szCs w:val="26"/>
        </w:rPr>
        <w:t>РІШЕННЯ</w:t>
      </w:r>
    </w:p>
    <w:tbl>
      <w:tblPr>
        <w:tblW w:w="12672" w:type="dxa"/>
        <w:tblLook w:val="04A0" w:firstRow="1" w:lastRow="0" w:firstColumn="1" w:lastColumn="0" w:noHBand="0" w:noVBand="1"/>
      </w:tblPr>
      <w:tblGrid>
        <w:gridCol w:w="3369"/>
        <w:gridCol w:w="3543"/>
        <w:gridCol w:w="5760"/>
      </w:tblGrid>
      <w:tr w:rsidR="00DA077F" w:rsidRPr="00DA077F" w:rsidTr="00471301">
        <w:trPr>
          <w:trHeight w:val="188"/>
        </w:trPr>
        <w:tc>
          <w:tcPr>
            <w:tcW w:w="3369" w:type="dxa"/>
            <w:hideMark/>
          </w:tcPr>
          <w:p w:rsidR="00DA077F" w:rsidRPr="00D31E0B" w:rsidRDefault="00DA077F" w:rsidP="00D31E0B">
            <w:pPr>
              <w:ind w:right="-2"/>
              <w:rPr>
                <w:rFonts w:ascii="Times New Roman" w:hAnsi="Times New Roman" w:cs="Times New Roman"/>
                <w:b/>
                <w:noProof/>
                <w:color w:val="002060"/>
                <w:sz w:val="28"/>
                <w:szCs w:val="28"/>
              </w:rPr>
            </w:pPr>
            <w:r w:rsidRPr="00D31E0B">
              <w:rPr>
                <w:rFonts w:ascii="Times New Roman" w:hAnsi="Times New Roman" w:cs="Times New Roman"/>
                <w:b/>
                <w:noProof/>
                <w:color w:val="002060"/>
                <w:sz w:val="28"/>
                <w:szCs w:val="28"/>
              </w:rPr>
              <w:t>2</w:t>
            </w:r>
            <w:r w:rsidR="00D31E0B" w:rsidRPr="00D31E0B">
              <w:rPr>
                <w:rFonts w:ascii="Times New Roman" w:hAnsi="Times New Roman" w:cs="Times New Roman"/>
                <w:b/>
                <w:noProof/>
                <w:color w:val="002060"/>
                <w:sz w:val="28"/>
                <w:szCs w:val="28"/>
              </w:rPr>
              <w:t>3</w:t>
            </w:r>
            <w:r w:rsidRPr="00D31E0B">
              <w:rPr>
                <w:rFonts w:ascii="Times New Roman" w:hAnsi="Times New Roman" w:cs="Times New Roman"/>
                <w:b/>
                <w:noProof/>
                <w:color w:val="002060"/>
                <w:sz w:val="28"/>
                <w:szCs w:val="28"/>
              </w:rPr>
              <w:t xml:space="preserve"> липня 2020 року </w:t>
            </w:r>
          </w:p>
        </w:tc>
        <w:tc>
          <w:tcPr>
            <w:tcW w:w="3543" w:type="dxa"/>
            <w:hideMark/>
          </w:tcPr>
          <w:p w:rsidR="00DA077F" w:rsidRPr="00D31E0B" w:rsidRDefault="00DA077F" w:rsidP="00DA077F">
            <w:pPr>
              <w:ind w:right="-2" w:hanging="109"/>
              <w:rPr>
                <w:rFonts w:ascii="Times New Roman" w:hAnsi="Times New Roman" w:cs="Times New Roman"/>
                <w:b/>
                <w:noProof/>
                <w:color w:val="002060"/>
                <w:sz w:val="28"/>
                <w:szCs w:val="28"/>
              </w:rPr>
            </w:pPr>
            <w:r w:rsidRPr="00D31E0B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 xml:space="preserve">                   </w:t>
            </w:r>
            <w:r w:rsidRPr="00D31E0B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Київ</w:t>
            </w:r>
          </w:p>
        </w:tc>
        <w:tc>
          <w:tcPr>
            <w:tcW w:w="5760" w:type="dxa"/>
            <w:hideMark/>
          </w:tcPr>
          <w:p w:rsidR="00DA077F" w:rsidRPr="00D31E0B" w:rsidRDefault="00DA077F" w:rsidP="00D31E0B">
            <w:pPr>
              <w:ind w:left="459" w:right="-2"/>
              <w:rPr>
                <w:rFonts w:ascii="Times New Roman" w:hAnsi="Times New Roman" w:cs="Times New Roman"/>
                <w:b/>
                <w:noProof/>
                <w:color w:val="002060"/>
                <w:sz w:val="28"/>
                <w:szCs w:val="28"/>
              </w:rPr>
            </w:pPr>
            <w:r w:rsidRPr="00D31E0B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 xml:space="preserve"> № 22</w:t>
            </w:r>
            <w:r w:rsidR="00D31E0B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56</w:t>
            </w:r>
            <w:bookmarkStart w:id="0" w:name="_GoBack"/>
            <w:bookmarkEnd w:id="0"/>
            <w:r w:rsidRPr="00D31E0B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/0/15-20</w:t>
            </w:r>
            <w:r w:rsidRPr="00D31E0B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 xml:space="preserve">  </w:t>
            </w:r>
          </w:p>
        </w:tc>
      </w:tr>
    </w:tbl>
    <w:p w:rsidR="00F548DA" w:rsidRPr="00F548DA" w:rsidRDefault="00F548DA" w:rsidP="00F548DA">
      <w:pPr>
        <w:pStyle w:val="a7"/>
        <w:rPr>
          <w:rFonts w:ascii="Times New Roman" w:hAnsi="Times New Roman" w:cs="Times New Roman"/>
          <w:sz w:val="30"/>
          <w:szCs w:val="30"/>
          <w:lang w:val="ru-RU" w:eastAsia="ru-RU"/>
        </w:rPr>
      </w:pPr>
    </w:p>
    <w:p w:rsidR="00125253" w:rsidRPr="00125253" w:rsidRDefault="00125253" w:rsidP="00125253">
      <w:pPr>
        <w:widowControl w:val="0"/>
        <w:suppressAutoHyphens/>
        <w:spacing w:after="322" w:line="274" w:lineRule="exact"/>
        <w:ind w:right="5669"/>
        <w:jc w:val="both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zh-CN"/>
        </w:rPr>
      </w:pPr>
      <w:r w:rsidRPr="00125253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zh-CN"/>
        </w:rPr>
        <w:t>Про звернення Вищої ради правосуддя до Офісу Генерального прокурора</w:t>
      </w:r>
    </w:p>
    <w:p w:rsidR="00125253" w:rsidRPr="00125253" w:rsidRDefault="00125253" w:rsidP="0012525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color w:val="000000"/>
          <w:sz w:val="28"/>
          <w:szCs w:val="24"/>
          <w:lang w:eastAsia="zh-CN"/>
        </w:rPr>
      </w:pPr>
      <w:r w:rsidRPr="00125253">
        <w:rPr>
          <w:rFonts w:ascii="Times New Roman" w:eastAsia="Calibri" w:hAnsi="Times New Roman" w:cs="Calibri"/>
          <w:color w:val="000000"/>
          <w:sz w:val="28"/>
          <w:szCs w:val="24"/>
          <w:lang w:eastAsia="zh-CN"/>
        </w:rPr>
        <w:t xml:space="preserve">Вища рада правосуддя, розглянувши висновок члена Вищої ради правосуддя Краснощокової Н.С. за результатами перевірки повідомлення члена Вищої ради правосуддя Грищука Віктора Климовича про втручання </w:t>
      </w:r>
      <w:r w:rsidRPr="00125253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/>
        </w:rPr>
        <w:t>в його діяльність,</w:t>
      </w:r>
      <w:r w:rsidRPr="00125253">
        <w:rPr>
          <w:rFonts w:ascii="Times New Roman" w:eastAsia="Calibri" w:hAnsi="Times New Roman" w:cs="Calibri"/>
          <w:color w:val="000000"/>
          <w:sz w:val="28"/>
          <w:szCs w:val="24"/>
          <w:lang w:eastAsia="zh-CN"/>
        </w:rPr>
        <w:t xml:space="preserve">  </w:t>
      </w:r>
    </w:p>
    <w:p w:rsidR="00125253" w:rsidRPr="00125253" w:rsidRDefault="00125253" w:rsidP="00125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253" w:rsidRPr="00125253" w:rsidRDefault="00125253" w:rsidP="001252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52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12525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становила</w:t>
      </w:r>
      <w:r w:rsidRPr="001252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25253" w:rsidRPr="00125253" w:rsidRDefault="00125253" w:rsidP="001252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25253" w:rsidRPr="00125253" w:rsidRDefault="00125253" w:rsidP="00125253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/>
        </w:rPr>
      </w:pPr>
      <w:r w:rsidRPr="00125253">
        <w:rPr>
          <w:rFonts w:ascii="Times New Roman" w:eastAsia="Calibri" w:hAnsi="Times New Roman" w:cs="Times New Roman"/>
          <w:sz w:val="28"/>
          <w:szCs w:val="28"/>
          <w:lang w:eastAsia="zh-CN"/>
        </w:rPr>
        <w:t>до Вищої ради правосуддя 22 липня 2020 року надійшло повідомлення члена Вищої ради правосуддя Грищука В.К. про втручання в його діяльність</w:t>
      </w:r>
      <w:r w:rsidRPr="00125253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/>
        </w:rPr>
        <w:t xml:space="preserve"> як члена                         Вищої ради правосуддя в порядку пункту 5 частини третьої статті 20 Закону України «Про Вищу раду правосуддя». </w:t>
      </w:r>
    </w:p>
    <w:p w:rsidR="00125253" w:rsidRPr="00125253" w:rsidRDefault="00125253" w:rsidP="0012525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/>
        </w:rPr>
      </w:pPr>
      <w:r w:rsidRPr="00125253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/>
        </w:rPr>
        <w:t>Відповідно до протоколу автоматизованого розподілу справи між членами Вищої ради правосуддя від 22 липня 2020 року вказане повідомлення передано члену Вищої ради правосуддя Краснощоковій Н.С. для проведення перевірки.</w:t>
      </w:r>
    </w:p>
    <w:p w:rsidR="00125253" w:rsidRPr="00125253" w:rsidRDefault="00125253" w:rsidP="0012525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/>
        </w:rPr>
      </w:pPr>
      <w:r w:rsidRPr="00125253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/>
        </w:rPr>
        <w:t>Дослідивши матеріали перевірки та заслухавши доповідача – члена Вищої ради правосуддя Краснощокову Н.С., Вища рада правосуддя дійшла такого висновку.</w:t>
      </w:r>
    </w:p>
    <w:p w:rsidR="00125253" w:rsidRPr="00125253" w:rsidRDefault="00125253" w:rsidP="0012525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</w:pPr>
      <w:r w:rsidRPr="00125253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повідомленні зазначено, що 2</w:t>
      </w:r>
      <w:r w:rsidR="00685CD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25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липня 2020 року</w:t>
      </w:r>
      <w:r w:rsidR="00685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Вищої ради</w:t>
      </w:r>
      <w:r w:rsidR="007F3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685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правосуддя надійшла повістка </w:t>
      </w:r>
      <w:r w:rsidRPr="00125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Національного антикорупційного бюро України (далі – НАБУ) </w:t>
      </w:r>
      <w:r w:rsidRPr="007F3F7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20 липня 2020 року № 0412-188/25</w:t>
      </w:r>
      <w:r w:rsidR="002577E9" w:rsidRPr="007F3F70">
        <w:rPr>
          <w:rFonts w:ascii="Times New Roman" w:eastAsia="Times New Roman" w:hAnsi="Times New Roman" w:cs="Times New Roman"/>
          <w:sz w:val="28"/>
          <w:szCs w:val="28"/>
          <w:lang w:eastAsia="ru-RU"/>
        </w:rPr>
        <w:t>225</w:t>
      </w:r>
      <w:r w:rsidRPr="007F3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3F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125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виклик</w:t>
      </w:r>
      <w:r w:rsidR="00685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 Вищої ради правосуддя Грищука В.К.</w:t>
      </w:r>
      <w:r w:rsidRPr="00125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старшого детектива Н</w:t>
      </w:r>
      <w:r w:rsidR="007F3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АБУ </w:t>
      </w:r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для участі у проведенні слідчих (розшукових) та процесуальних дій, у тому числі допиту </w:t>
      </w:r>
      <w:r w:rsidR="005E2F26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як</w:t>
      </w:r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 свідка, вручення процесуальних документів тощо, у </w:t>
      </w:r>
      <w:r w:rsidR="005E2F26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межах </w:t>
      </w:r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проведення досудового розслідування у кримінальному провадженні, внесеному до Єдиного</w:t>
      </w:r>
      <w:r w:rsid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</w:t>
      </w:r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реєстру досудових розслідувань</w:t>
      </w:r>
      <w:r w:rsidR="005E2F26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за</w:t>
      </w:r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№ 22020120000000019 від 17 липня 2020 року</w:t>
      </w:r>
      <w:r w:rsidR="005C67AA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</w:t>
      </w:r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за ознаками кримінальних правопорушень, передба</w:t>
      </w:r>
      <w:r w:rsid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чених частиною першою             </w:t>
      </w:r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статті 255, частиною першою статті 109, статтею 351</w:t>
      </w:r>
      <w:r w:rsidRPr="00125253">
        <w:rPr>
          <w:rFonts w:ascii="Times New Roman" w:eastAsia="Arial Unicode MS" w:hAnsi="Times New Roman" w:cs="Times New Roman"/>
          <w:sz w:val="28"/>
          <w:szCs w:val="28"/>
          <w:vertAlign w:val="superscript"/>
          <w:lang w:eastAsia="ru-RU" w:bidi="uk-UA"/>
        </w:rPr>
        <w:t>2</w:t>
      </w:r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,</w:t>
      </w:r>
      <w:r w:rsidRPr="00125253">
        <w:rPr>
          <w:rFonts w:ascii="Times New Roman" w:eastAsia="Arial Unicode MS" w:hAnsi="Times New Roman" w:cs="Times New Roman"/>
          <w:sz w:val="28"/>
          <w:szCs w:val="28"/>
          <w:vertAlign w:val="superscript"/>
          <w:lang w:eastAsia="ru-RU" w:bidi="uk-UA"/>
        </w:rPr>
        <w:t xml:space="preserve"> </w:t>
      </w:r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частиною другою статті 375, частиною першою статті 369</w:t>
      </w:r>
      <w:r w:rsidRPr="00125253">
        <w:rPr>
          <w:rFonts w:ascii="Times New Roman" w:eastAsia="Arial Unicode MS" w:hAnsi="Times New Roman" w:cs="Times New Roman"/>
          <w:sz w:val="28"/>
          <w:szCs w:val="28"/>
          <w:vertAlign w:val="superscript"/>
          <w:lang w:eastAsia="ru-RU" w:bidi="uk-UA"/>
        </w:rPr>
        <w:t>1</w:t>
      </w:r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, частиною другою статті 369</w:t>
      </w:r>
      <w:r w:rsidRPr="00125253">
        <w:rPr>
          <w:rFonts w:ascii="Times New Roman" w:eastAsia="Arial Unicode MS" w:hAnsi="Times New Roman" w:cs="Times New Roman"/>
          <w:sz w:val="28"/>
          <w:szCs w:val="28"/>
          <w:vertAlign w:val="superscript"/>
          <w:lang w:eastAsia="ru-RU" w:bidi="uk-UA"/>
        </w:rPr>
        <w:t>2</w:t>
      </w:r>
      <w:r w:rsid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, статтями 369, 344,  </w:t>
      </w:r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           343 та іншими статтями Кримінального кодексу України.</w:t>
      </w:r>
    </w:p>
    <w:p w:rsidR="00125253" w:rsidRPr="00125253" w:rsidRDefault="00125253" w:rsidP="0012525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</w:pPr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Такі дії НАБУ член Вищої ради правосуддя Грищук В.К. пов’язує з його участю як члена Ради у прийнятті Вищою радою правосуддя рішень від 20 серпня 2019 року </w:t>
      </w:r>
      <w:r w:rsidR="005E2F26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під час</w:t>
      </w:r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розгляд</w:t>
      </w:r>
      <w:r w:rsidR="005E2F26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у</w:t>
      </w:r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клопотань заступника Генерального прокурора</w:t>
      </w:r>
      <w:r w:rsidR="005C67AA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                  </w:t>
      </w:r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</w:t>
      </w:r>
      <w:proofErr w:type="spellStart"/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Кізя</w:t>
      </w:r>
      <w:proofErr w:type="spellEnd"/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С.М. про тимчасове відсторонення суддів Окружного адміністративного суду </w:t>
      </w:r>
      <w:r w:rsid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                       </w:t>
      </w:r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міста Києва Вовка П.В. та </w:t>
      </w:r>
      <w:proofErr w:type="spellStart"/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Погрібніченка</w:t>
      </w:r>
      <w:proofErr w:type="spellEnd"/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І.М., за результатами </w:t>
      </w:r>
      <w:r w:rsidR="005E2F26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яких</w:t>
      </w:r>
      <w:r w:rsidRPr="0012525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Вища рада правосуддя відмовила у їх задоволенні. </w:t>
      </w:r>
    </w:p>
    <w:p w:rsidR="00B27FB0" w:rsidRDefault="00125253" w:rsidP="00B27FB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 w:bidi="uk-UA"/>
        </w:rPr>
      </w:pPr>
      <w:r w:rsidRPr="00125253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 w:bidi="uk-UA"/>
        </w:rPr>
        <w:lastRenderedPageBreak/>
        <w:t xml:space="preserve">Зазначає, що у </w:t>
      </w:r>
      <w:r w:rsidRPr="00125253">
        <w:rPr>
          <w:rFonts w:ascii="Times New Roman" w:eastAsia="Calibri" w:hAnsi="Times New Roman" w:cs="Times New Roman"/>
          <w:sz w:val="28"/>
          <w:szCs w:val="28"/>
        </w:rPr>
        <w:t xml:space="preserve">засобах масової інформації </w:t>
      </w:r>
      <w:r w:rsidRPr="00125253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 w:bidi="uk-UA"/>
        </w:rPr>
        <w:t>наявні відомості про вручення підозр суддям Окружного адмініс</w:t>
      </w:r>
      <w:r w:rsidR="005E2F26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 w:bidi="uk-UA"/>
        </w:rPr>
        <w:t>тративного суду міста Києва та Г</w:t>
      </w:r>
      <w:r w:rsidRPr="00125253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 w:bidi="uk-UA"/>
        </w:rPr>
        <w:t xml:space="preserve">олові Державної судової адміністрації України. </w:t>
      </w:r>
    </w:p>
    <w:p w:rsidR="00E246D0" w:rsidRPr="00B27FB0" w:rsidRDefault="00B27FB0" w:rsidP="00B27FB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 w:bidi="uk-UA"/>
        </w:rPr>
      </w:pPr>
      <w:r w:rsidRPr="00B27FB0">
        <w:rPr>
          <w:rFonts w:ascii="Times New Roman" w:hAnsi="Times New Roman" w:cs="Times New Roman"/>
          <w:sz w:val="28"/>
          <w:szCs w:val="28"/>
          <w:shd w:val="clear" w:color="auto" w:fill="FFFFFF"/>
          <w:lang w:eastAsia="zh-CN"/>
        </w:rPr>
        <w:t>З</w:t>
      </w:r>
      <w:r w:rsidRPr="00B27FB0">
        <w:rPr>
          <w:rFonts w:ascii="Times New Roman" w:hAnsi="Times New Roman" w:cs="Times New Roman"/>
          <w:sz w:val="28"/>
          <w:szCs w:val="28"/>
          <w:shd w:val="clear" w:color="auto" w:fill="FFFFFF"/>
          <w:lang w:eastAsia="zh-CN" w:bidi="uk-UA"/>
        </w:rPr>
        <w:t xml:space="preserve"> огляду на визначені Конституцією України та Законом України «Про Вищу раду правосуддя» повноваження Вищої ради правосуддя щодо тимчасового відсторонення суддів від здійснення правосуддя у зв’язку з притягненням їх до кримінальної відповідальності, надання згоди на затримання судді, утримання його під вартою чи арештом, </w:t>
      </w:r>
      <w:r w:rsidR="00125253" w:rsidRPr="00B27FB0">
        <w:rPr>
          <w:rFonts w:ascii="Times New Roman" w:hAnsi="Times New Roman" w:cs="Times New Roman"/>
          <w:sz w:val="28"/>
          <w:szCs w:val="28"/>
          <w:shd w:val="clear" w:color="auto" w:fill="FFFFFF"/>
          <w:lang w:eastAsia="zh-CN" w:bidi="uk-UA"/>
        </w:rPr>
        <w:t>член Вищої ради правосуддя Грищук В.К. допускає</w:t>
      </w:r>
      <w:r w:rsidR="00125253" w:rsidRPr="00B27FB0">
        <w:rPr>
          <w:rFonts w:ascii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5E2F26">
        <w:rPr>
          <w:rFonts w:ascii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можливість </w:t>
      </w:r>
      <w:r w:rsidR="00125253" w:rsidRPr="00B27FB0">
        <w:rPr>
          <w:rFonts w:ascii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надходження до Вищої ради правосуддя клопотань органу досудового розслідування із зазначених питань. На його думку, </w:t>
      </w:r>
      <w:r w:rsidR="005E2F26">
        <w:rPr>
          <w:rFonts w:ascii="Times New Roman" w:hAnsi="Times New Roman" w:cs="Times New Roman"/>
          <w:sz w:val="28"/>
          <w:szCs w:val="28"/>
          <w:shd w:val="clear" w:color="auto" w:fill="FFFFFF"/>
          <w:lang w:eastAsia="zh-CN"/>
        </w:rPr>
        <w:t>надсилання</w:t>
      </w:r>
      <w:r w:rsidR="00125253" w:rsidRPr="00B27FB0">
        <w:rPr>
          <w:rFonts w:ascii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повістки про виклик є психологічним тиском та втручанням у його діяльність як члена Вищої ради правосуддя </w:t>
      </w:r>
      <w:r w:rsidR="00E246D0" w:rsidRPr="00B27FB0">
        <w:rPr>
          <w:rFonts w:ascii="Times New Roman" w:hAnsi="Times New Roman" w:cs="Times New Roman"/>
          <w:sz w:val="28"/>
          <w:szCs w:val="28"/>
          <w:shd w:val="clear" w:color="auto" w:fill="FFFFFF"/>
          <w:lang w:eastAsia="zh-CN"/>
        </w:rPr>
        <w:t>при виконанні покладених на нього Конституцією України та Законом України «Про Вищу раду правосуддя» обов’язків.</w:t>
      </w:r>
    </w:p>
    <w:p w:rsidR="00125253" w:rsidRDefault="00125253" w:rsidP="001252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253">
        <w:rPr>
          <w:rFonts w:ascii="Times New Roman" w:eastAsia="Calibri" w:hAnsi="Times New Roman" w:cs="Times New Roman"/>
          <w:sz w:val="28"/>
          <w:szCs w:val="28"/>
        </w:rPr>
        <w:t xml:space="preserve">Член Вищої ради правосуддя </w:t>
      </w:r>
      <w:r w:rsidRPr="0012525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Грищук В.К. </w:t>
      </w:r>
      <w:r w:rsidRPr="00125253">
        <w:rPr>
          <w:rFonts w:ascii="Times New Roman" w:eastAsia="Calibri" w:hAnsi="Times New Roman" w:cs="Times New Roman"/>
          <w:sz w:val="28"/>
          <w:szCs w:val="28"/>
        </w:rPr>
        <w:t xml:space="preserve">вказані події вважає взаємопов’язаними, а виклик на допит розцінює як тиск та втручання в його діяльність як члена Вищої ради правосуддя. </w:t>
      </w:r>
    </w:p>
    <w:p w:rsidR="00125253" w:rsidRPr="00125253" w:rsidRDefault="00125253" w:rsidP="0012525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/>
        </w:rPr>
      </w:pPr>
      <w:r w:rsidRPr="00125253">
        <w:rPr>
          <w:rFonts w:ascii="Times New Roman" w:eastAsia="Calibri" w:hAnsi="Times New Roman" w:cs="Times New Roman"/>
          <w:sz w:val="28"/>
          <w:lang w:eastAsia="uk-UA" w:bidi="uk-UA"/>
        </w:rPr>
        <w:t xml:space="preserve">Пунктами 1 та 2 Основних принципів незалежності судових органів, схвалених резолюціями 40/32 та 40/146 Генеральної Асамблеї </w:t>
      </w:r>
      <w:r w:rsidRPr="00125253">
        <w:rPr>
          <w:rFonts w:ascii="Times New Roman" w:eastAsia="Calibri" w:hAnsi="Times New Roman" w:cs="Times New Roman"/>
          <w:sz w:val="28"/>
          <w:lang w:bidi="ru-RU"/>
        </w:rPr>
        <w:t xml:space="preserve">ООН </w:t>
      </w:r>
      <w:r w:rsidR="007F3F70">
        <w:rPr>
          <w:rFonts w:ascii="Times New Roman" w:eastAsia="Calibri" w:hAnsi="Times New Roman" w:cs="Times New Roman"/>
          <w:sz w:val="28"/>
          <w:lang w:bidi="ru-RU"/>
        </w:rPr>
        <w:t xml:space="preserve">                                        </w:t>
      </w:r>
      <w:r w:rsidRPr="00125253">
        <w:rPr>
          <w:rFonts w:ascii="Times New Roman" w:eastAsia="Calibri" w:hAnsi="Times New Roman" w:cs="Times New Roman"/>
          <w:sz w:val="28"/>
          <w:lang w:eastAsia="uk-UA" w:bidi="uk-UA"/>
        </w:rPr>
        <w:t xml:space="preserve">від 29 листопада та від 13 грудня 1985 року, передбачено, що незалежність </w:t>
      </w:r>
      <w:r w:rsidR="007F3F70">
        <w:rPr>
          <w:rFonts w:ascii="Times New Roman" w:eastAsia="Calibri" w:hAnsi="Times New Roman" w:cs="Times New Roman"/>
          <w:sz w:val="28"/>
          <w:lang w:eastAsia="uk-UA" w:bidi="uk-UA"/>
        </w:rPr>
        <w:t xml:space="preserve">             </w:t>
      </w:r>
      <w:r w:rsidRPr="00125253">
        <w:rPr>
          <w:rFonts w:ascii="Times New Roman" w:eastAsia="Calibri" w:hAnsi="Times New Roman" w:cs="Times New Roman"/>
          <w:sz w:val="28"/>
          <w:lang w:eastAsia="uk-UA" w:bidi="uk-UA"/>
        </w:rPr>
        <w:t>судових органів гарантується державою та закріплюється в конституції або законах країни. Судові органи вирішують передані їм справи безсторонньо, на основі фактів та відповідно до закону, без будь-яких обмежень, неправомірного впливу, спонукання, тиску, погроз або втручання, прямого чи непрямого, з будь-якого боку і з будь-яких би то не було причин.</w:t>
      </w:r>
    </w:p>
    <w:p w:rsidR="00125253" w:rsidRPr="00125253" w:rsidRDefault="00125253" w:rsidP="001252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253">
        <w:rPr>
          <w:rFonts w:ascii="Times New Roman" w:eastAsia="Calibri" w:hAnsi="Times New Roman" w:cs="Times New Roman"/>
          <w:sz w:val="28"/>
          <w:szCs w:val="28"/>
        </w:rPr>
        <w:t xml:space="preserve">Відповідно до статті 1 Закону України «Про Вищу раду правосуддя» </w:t>
      </w:r>
      <w:bookmarkStart w:id="1" w:name="n8"/>
      <w:bookmarkEnd w:id="1"/>
      <w:r w:rsidR="007F3F70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125253">
        <w:rPr>
          <w:rFonts w:ascii="Times New Roman" w:eastAsia="Calibri" w:hAnsi="Times New Roman" w:cs="Times New Roman"/>
          <w:sz w:val="28"/>
          <w:szCs w:val="28"/>
        </w:rPr>
        <w:t>Вища рада правосуддя є колегіальним, незалежним конституційним органом державної влади та суддівського врядування, який діє в Україні на постійній</w:t>
      </w:r>
      <w:r w:rsidR="007F3F70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125253">
        <w:rPr>
          <w:rFonts w:ascii="Times New Roman" w:eastAsia="Calibri" w:hAnsi="Times New Roman" w:cs="Times New Roman"/>
          <w:sz w:val="28"/>
          <w:szCs w:val="28"/>
        </w:rPr>
        <w:t xml:space="preserve"> основі для забезпечення незалежності судової влади, її функціонування на засадах відповідальності, підзвітності перед суспільством, формування доброчесного та високопрофесійного корпусу суддів, додержання норм </w:t>
      </w:r>
      <w:hyperlink r:id="rId7" w:tgtFrame="_blank" w:history="1">
        <w:r w:rsidRPr="00125253">
          <w:rPr>
            <w:rFonts w:ascii="Times New Roman" w:eastAsia="Calibri" w:hAnsi="Times New Roman" w:cs="Times New Roman"/>
            <w:sz w:val="28"/>
            <w:szCs w:val="28"/>
          </w:rPr>
          <w:t>Конституції</w:t>
        </w:r>
      </w:hyperlink>
      <w:r w:rsidRPr="00125253">
        <w:rPr>
          <w:rFonts w:ascii="Times New Roman" w:eastAsia="Calibri" w:hAnsi="Times New Roman" w:cs="Times New Roman"/>
          <w:sz w:val="28"/>
          <w:szCs w:val="28"/>
        </w:rPr>
        <w:t xml:space="preserve"> і законів України, а також професійної етики в діяльності суддів і прокурорів.</w:t>
      </w:r>
    </w:p>
    <w:p w:rsidR="005E2F26" w:rsidRPr="005E2F26" w:rsidRDefault="005E2F26" w:rsidP="005E2F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F26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5C67AA">
        <w:rPr>
          <w:rFonts w:ascii="Times New Roman" w:hAnsi="Times New Roman" w:cs="Times New Roman"/>
          <w:sz w:val="28"/>
          <w:szCs w:val="28"/>
        </w:rPr>
        <w:t>і</w:t>
      </w:r>
      <w:r w:rsidRPr="005E2F26">
        <w:rPr>
          <w:rFonts w:ascii="Times New Roman" w:hAnsi="Times New Roman" w:cs="Times New Roman"/>
          <w:sz w:val="28"/>
          <w:szCs w:val="28"/>
        </w:rPr>
        <w:t xml:space="preserve">з частиною четвертою статті 21 вказаного </w:t>
      </w:r>
      <w:r w:rsidR="005C67AA">
        <w:rPr>
          <w:rFonts w:ascii="Times New Roman" w:hAnsi="Times New Roman" w:cs="Times New Roman"/>
          <w:sz w:val="28"/>
          <w:szCs w:val="28"/>
        </w:rPr>
        <w:t>З</w:t>
      </w:r>
      <w:r w:rsidRPr="005E2F26">
        <w:rPr>
          <w:rFonts w:ascii="Times New Roman" w:hAnsi="Times New Roman" w:cs="Times New Roman"/>
          <w:sz w:val="28"/>
          <w:szCs w:val="28"/>
        </w:rPr>
        <w:t>акону член Вищої ради правосуддя у своїй діяльності є незалежним від будь-якого незаконного впливу, тиску або втручання.</w:t>
      </w:r>
    </w:p>
    <w:p w:rsidR="007F3F70" w:rsidRDefault="005E2F26" w:rsidP="007F3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F3F70" w:rsidRPr="007F3F70">
        <w:rPr>
          <w:rFonts w:ascii="Times New Roman" w:eastAsia="Calibri" w:hAnsi="Times New Roman" w:cs="Times New Roman"/>
          <w:sz w:val="28"/>
          <w:szCs w:val="28"/>
        </w:rPr>
        <w:t xml:space="preserve">унктом </w:t>
      </w:r>
      <w:r w:rsidR="00792319" w:rsidRPr="007F3F70">
        <w:rPr>
          <w:rFonts w:ascii="Times New Roman" w:eastAsia="Calibri" w:hAnsi="Times New Roman" w:cs="Times New Roman"/>
          <w:sz w:val="28"/>
          <w:szCs w:val="28"/>
        </w:rPr>
        <w:t>5 ч</w:t>
      </w:r>
      <w:r w:rsidR="007F3F70" w:rsidRPr="007F3F70">
        <w:rPr>
          <w:rFonts w:ascii="Times New Roman" w:eastAsia="Calibri" w:hAnsi="Times New Roman" w:cs="Times New Roman"/>
          <w:sz w:val="28"/>
          <w:szCs w:val="28"/>
        </w:rPr>
        <w:t xml:space="preserve">астини третьої </w:t>
      </w:r>
      <w:r w:rsidR="00792319" w:rsidRPr="007F3F70">
        <w:rPr>
          <w:rFonts w:ascii="Times New Roman" w:eastAsia="Calibri" w:hAnsi="Times New Roman" w:cs="Times New Roman"/>
          <w:sz w:val="28"/>
          <w:szCs w:val="28"/>
        </w:rPr>
        <w:t>ст</w:t>
      </w:r>
      <w:r w:rsidR="007F3F70" w:rsidRPr="007F3F70">
        <w:rPr>
          <w:rFonts w:ascii="Times New Roman" w:eastAsia="Calibri" w:hAnsi="Times New Roman" w:cs="Times New Roman"/>
          <w:sz w:val="28"/>
          <w:szCs w:val="28"/>
        </w:rPr>
        <w:t xml:space="preserve">атті </w:t>
      </w:r>
      <w:r w:rsidR="00792319" w:rsidRPr="007F3F70">
        <w:rPr>
          <w:rFonts w:ascii="Times New Roman" w:eastAsia="Calibri" w:hAnsi="Times New Roman" w:cs="Times New Roman"/>
          <w:sz w:val="28"/>
          <w:szCs w:val="28"/>
        </w:rPr>
        <w:t>20 Закону України «Про Вищу</w:t>
      </w:r>
      <w:r w:rsidR="00AC1D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2319" w:rsidRPr="007F3F70">
        <w:rPr>
          <w:rFonts w:ascii="Times New Roman" w:eastAsia="Calibri" w:hAnsi="Times New Roman" w:cs="Times New Roman"/>
          <w:sz w:val="28"/>
          <w:szCs w:val="28"/>
        </w:rPr>
        <w:t xml:space="preserve">раду правосуддя»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встановлено, що </w:t>
      </w:r>
      <w:r w:rsidR="00792319" w:rsidRPr="007F3F70">
        <w:rPr>
          <w:rFonts w:ascii="Times New Roman" w:hAnsi="Times New Roman" w:cs="Times New Roman"/>
          <w:sz w:val="28"/>
          <w:szCs w:val="28"/>
        </w:rPr>
        <w:t>член Вищої ради правосуддя зобов’язаний</w:t>
      </w:r>
      <w:bookmarkStart w:id="2" w:name="n179"/>
      <w:bookmarkStart w:id="3" w:name="n183"/>
      <w:bookmarkEnd w:id="2"/>
      <w:bookmarkEnd w:id="3"/>
      <w:r w:rsidR="00792319" w:rsidRPr="007F3F70">
        <w:rPr>
          <w:rFonts w:ascii="Times New Roman" w:hAnsi="Times New Roman" w:cs="Times New Roman"/>
          <w:sz w:val="28"/>
          <w:szCs w:val="28"/>
        </w:rPr>
        <w:t xml:space="preserve"> звертатися з повідомленням про втручання в його діяльність до Вищої ради правосуддя упродовж п’яти днів після того, як йому стало відомо про таке втручання.</w:t>
      </w:r>
    </w:p>
    <w:p w:rsidR="00792319" w:rsidRPr="007F3F70" w:rsidRDefault="00792319" w:rsidP="007F3F7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</w:pPr>
      <w:r w:rsidRPr="007F3F70">
        <w:rPr>
          <w:rFonts w:ascii="Times New Roman" w:hAnsi="Times New Roman" w:cs="Times New Roman"/>
          <w:sz w:val="28"/>
          <w:szCs w:val="28"/>
        </w:rPr>
        <w:t>Під час розгляду повідомлення члена Вищої ради правосуддя Грищука В.К. встановлено, що на адресу Вищої ради правосуддя  надійшла повістка, адресована члену Вищої ради правосуддя Грищуку В.К.</w:t>
      </w:r>
      <w:r w:rsidR="005E2F26">
        <w:rPr>
          <w:rFonts w:ascii="Times New Roman" w:hAnsi="Times New Roman" w:cs="Times New Roman"/>
          <w:sz w:val="28"/>
          <w:szCs w:val="28"/>
        </w:rPr>
        <w:t>,</w:t>
      </w:r>
      <w:r w:rsidRPr="007F3F70">
        <w:rPr>
          <w:rFonts w:ascii="Times New Roman" w:hAnsi="Times New Roman" w:cs="Times New Roman"/>
          <w:sz w:val="28"/>
          <w:szCs w:val="28"/>
        </w:rPr>
        <w:t xml:space="preserve"> про</w:t>
      </w:r>
      <w:r w:rsidRPr="007F3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виклик на </w:t>
      </w:r>
      <w:r w:rsidR="005E2F26">
        <w:rPr>
          <w:rFonts w:ascii="Times New Roman" w:eastAsia="Times New Roman" w:hAnsi="Times New Roman" w:cs="Times New Roman"/>
          <w:sz w:val="28"/>
          <w:szCs w:val="28"/>
          <w:lang w:eastAsia="ru-RU"/>
        </w:rPr>
        <w:t>19:00</w:t>
      </w:r>
      <w:r w:rsidR="007F3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3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липня </w:t>
      </w:r>
      <w:r w:rsidR="005E2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F3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року </w:t>
      </w:r>
      <w:r w:rsidRP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для участі у проведенні слідчих (розшукових) та процесуа</w:t>
      </w:r>
      <w:r w:rsidR="005E2F26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льних дій, у тому числі допиту </w:t>
      </w:r>
      <w:r w:rsidRP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як свідка, врученн</w:t>
      </w:r>
      <w:r w:rsidR="005E2F26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я процесуальних документів тощо</w:t>
      </w:r>
      <w:r w:rsidRP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у </w:t>
      </w:r>
      <w:r w:rsidR="005E2F26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межах </w:t>
      </w:r>
      <w:r w:rsidRP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проведення досудового розслідування у кримінальному провадженні, внесеному до </w:t>
      </w:r>
      <w:r w:rsidRP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lastRenderedPageBreak/>
        <w:t xml:space="preserve">Єдиного реєстру досудових розслідувань </w:t>
      </w:r>
      <w:r w:rsidR="005E2F26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за </w:t>
      </w:r>
      <w:r w:rsidRP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№ 22020120000000019 від 17 липня 2020 року за ознаками кримінальних правопорушень, передбачених </w:t>
      </w:r>
      <w:r w:rsidR="005E2F26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                      </w:t>
      </w:r>
      <w:r w:rsidRP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частиною першою статті 255, частиною першою статті 109, статтею 351</w:t>
      </w:r>
      <w:r w:rsidRPr="007F3F70">
        <w:rPr>
          <w:rFonts w:ascii="Times New Roman" w:eastAsia="Arial Unicode MS" w:hAnsi="Times New Roman" w:cs="Times New Roman"/>
          <w:sz w:val="28"/>
          <w:szCs w:val="28"/>
          <w:vertAlign w:val="superscript"/>
          <w:lang w:eastAsia="ru-RU" w:bidi="uk-UA"/>
        </w:rPr>
        <w:t>2</w:t>
      </w:r>
      <w:r w:rsidRP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,</w:t>
      </w:r>
      <w:r w:rsid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            </w:t>
      </w:r>
      <w:r w:rsidRPr="007F3F70">
        <w:rPr>
          <w:rFonts w:ascii="Times New Roman" w:eastAsia="Arial Unicode MS" w:hAnsi="Times New Roman" w:cs="Times New Roman"/>
          <w:sz w:val="28"/>
          <w:szCs w:val="28"/>
          <w:vertAlign w:val="superscript"/>
          <w:lang w:eastAsia="ru-RU" w:bidi="uk-UA"/>
        </w:rPr>
        <w:t xml:space="preserve"> </w:t>
      </w:r>
      <w:r w:rsidR="007F3F70">
        <w:rPr>
          <w:rFonts w:ascii="Times New Roman" w:eastAsia="Arial Unicode MS" w:hAnsi="Times New Roman" w:cs="Times New Roman"/>
          <w:sz w:val="28"/>
          <w:szCs w:val="28"/>
          <w:vertAlign w:val="superscript"/>
          <w:lang w:eastAsia="ru-RU" w:bidi="uk-UA"/>
        </w:rPr>
        <w:t xml:space="preserve"> </w:t>
      </w:r>
      <w:r w:rsidRP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частиною другою статті 375, частиною першою статті 369</w:t>
      </w:r>
      <w:r w:rsidRPr="007F3F70">
        <w:rPr>
          <w:rFonts w:ascii="Times New Roman" w:eastAsia="Arial Unicode MS" w:hAnsi="Times New Roman" w:cs="Times New Roman"/>
          <w:sz w:val="28"/>
          <w:szCs w:val="28"/>
          <w:vertAlign w:val="superscript"/>
          <w:lang w:eastAsia="ru-RU" w:bidi="uk-UA"/>
        </w:rPr>
        <w:t>1</w:t>
      </w:r>
      <w:r w:rsidRP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, частиною другою </w:t>
      </w:r>
      <w:r w:rsid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</w:t>
      </w:r>
      <w:r w:rsidRP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статті 369</w:t>
      </w:r>
      <w:r w:rsidRPr="007F3F70">
        <w:rPr>
          <w:rFonts w:ascii="Times New Roman" w:eastAsia="Arial Unicode MS" w:hAnsi="Times New Roman" w:cs="Times New Roman"/>
          <w:sz w:val="28"/>
          <w:szCs w:val="28"/>
          <w:vertAlign w:val="superscript"/>
          <w:lang w:eastAsia="ru-RU" w:bidi="uk-UA"/>
        </w:rPr>
        <w:t>2</w:t>
      </w:r>
      <w:r w:rsidRPr="007F3F70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, статтями 369, 344, 343 та іншими статтями Кримінального кодексу України.</w:t>
      </w:r>
    </w:p>
    <w:p w:rsidR="00792319" w:rsidRDefault="00792319" w:rsidP="0079231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</w:pPr>
      <w:r w:rsidRPr="00792319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Також встановлено, що аналогічні повістки про виклик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надійшли </w:t>
      </w:r>
      <w:r w:rsidR="005E2F26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й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іншим членам Вищої ради правосуддя.</w:t>
      </w:r>
    </w:p>
    <w:p w:rsidR="008D462E" w:rsidRPr="008D462E" w:rsidRDefault="008D462E" w:rsidP="0079231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</w:pPr>
      <w:r w:rsidRPr="008D46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Члена Вищої ради правосуддя Грищука В.К. викликають як свідка у кримінальному провадженні, </w:t>
      </w:r>
      <w:r w:rsidR="005E2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8D46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якому згідно з інформацією, розміщеною 21 липня 2020 року на сайті НАБУ (</w:t>
      </w:r>
      <w:hyperlink r:id="rId8" w:tgtFrame="_blank" w:history="1">
        <w:r w:rsidRPr="008D462E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https://nabu.gov.ua/novyny</w:t>
        </w:r>
      </w:hyperlink>
      <w:r w:rsidRPr="008D46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5E2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D46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суддям </w:t>
      </w:r>
      <w:r w:rsidRPr="008D462E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Окружного адміністративного суду міста Києва</w:t>
      </w:r>
      <w:r w:rsidRPr="008D46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оголошувались та вручались підозри.</w:t>
      </w:r>
    </w:p>
    <w:p w:rsidR="00353FE8" w:rsidRDefault="0076459E" w:rsidP="00353FE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Разом </w:t>
      </w:r>
      <w:r w:rsidR="005E2F26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із тим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повістка не містить </w:t>
      </w:r>
      <w:r w:rsidR="00FA592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вичерпної інформації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, передбачен</w:t>
      </w:r>
      <w:r w:rsidR="00FA592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ої</w:t>
      </w:r>
      <w:r w:rsidR="00353FE8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ст</w:t>
      </w:r>
      <w:r w:rsidR="00353FE8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аттею </w:t>
      </w:r>
      <w:r w:rsidR="00326897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137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К</w:t>
      </w:r>
      <w:r w:rsidR="00353FE8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римінального процесуального кодексу України</w:t>
      </w:r>
      <w:r w:rsidR="005E2F26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,</w:t>
      </w:r>
      <w:r w:rsidR="00326897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для </w:t>
      </w:r>
      <w:r w:rsidR="00FA5923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участі у яких саме процесуальних діях</w:t>
      </w:r>
      <w:r w:rsidR="00CF4826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, крім як допиту як свідка, член</w:t>
      </w:r>
      <w:r w:rsidR="005C67AA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>а</w:t>
      </w:r>
      <w:r w:rsidR="00353FE8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Вищої ради правосуддя</w:t>
      </w:r>
      <w:r w:rsidR="005E2F26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викликають</w:t>
      </w:r>
      <w:r w:rsidR="00CF4826"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  <w:t xml:space="preserve"> на допит.</w:t>
      </w:r>
    </w:p>
    <w:p w:rsidR="002577E9" w:rsidRPr="008D462E" w:rsidRDefault="00B51453" w:rsidP="008D462E">
      <w:pPr>
        <w:pStyle w:val="a7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uk-UA"/>
        </w:rPr>
      </w:pPr>
      <w:r w:rsidRPr="008D462E">
        <w:rPr>
          <w:rFonts w:ascii="Times New Roman" w:hAnsi="Times New Roman" w:cs="Times New Roman"/>
          <w:sz w:val="28"/>
          <w:szCs w:val="28"/>
        </w:rPr>
        <w:t>З огляду на визначені Конституцією та Законом України «Про Вищу раду правосуддя» повноваження В</w:t>
      </w:r>
      <w:r w:rsidR="00353FE8" w:rsidRPr="008D462E">
        <w:rPr>
          <w:rFonts w:ascii="Times New Roman" w:hAnsi="Times New Roman" w:cs="Times New Roman"/>
          <w:sz w:val="28"/>
          <w:szCs w:val="28"/>
        </w:rPr>
        <w:t>ищої ради правосуддя</w:t>
      </w:r>
      <w:r w:rsidRPr="008D462E">
        <w:rPr>
          <w:rFonts w:ascii="Times New Roman" w:hAnsi="Times New Roman" w:cs="Times New Roman"/>
          <w:sz w:val="28"/>
          <w:szCs w:val="28"/>
        </w:rPr>
        <w:t xml:space="preserve"> виклик члена В</w:t>
      </w:r>
      <w:r w:rsidR="00353FE8" w:rsidRPr="008D462E">
        <w:rPr>
          <w:rFonts w:ascii="Times New Roman" w:hAnsi="Times New Roman" w:cs="Times New Roman"/>
          <w:sz w:val="28"/>
          <w:szCs w:val="28"/>
        </w:rPr>
        <w:t>ищої ради правосуддя</w:t>
      </w:r>
      <w:r w:rsidRPr="008D462E">
        <w:rPr>
          <w:rFonts w:ascii="Times New Roman" w:hAnsi="Times New Roman" w:cs="Times New Roman"/>
          <w:sz w:val="28"/>
          <w:szCs w:val="28"/>
        </w:rPr>
        <w:t xml:space="preserve"> на допит за обставин та </w:t>
      </w:r>
      <w:r w:rsidR="00CF4826" w:rsidRPr="008D462E">
        <w:rPr>
          <w:rFonts w:ascii="Times New Roman" w:hAnsi="Times New Roman" w:cs="Times New Roman"/>
          <w:sz w:val="28"/>
          <w:szCs w:val="28"/>
        </w:rPr>
        <w:t xml:space="preserve">у </w:t>
      </w:r>
      <w:r w:rsidRPr="008D462E">
        <w:rPr>
          <w:rFonts w:ascii="Times New Roman" w:hAnsi="Times New Roman" w:cs="Times New Roman"/>
          <w:sz w:val="28"/>
          <w:szCs w:val="28"/>
        </w:rPr>
        <w:t>спосіб</w:t>
      </w:r>
      <w:r w:rsidR="00971F5B">
        <w:rPr>
          <w:rFonts w:ascii="Times New Roman" w:hAnsi="Times New Roman" w:cs="Times New Roman"/>
          <w:sz w:val="28"/>
          <w:szCs w:val="28"/>
        </w:rPr>
        <w:t xml:space="preserve">, що </w:t>
      </w:r>
      <w:r w:rsidR="00971F5B" w:rsidRPr="008D462E">
        <w:rPr>
          <w:rFonts w:ascii="Times New Roman" w:hAnsi="Times New Roman" w:cs="Times New Roman"/>
          <w:sz w:val="28"/>
          <w:szCs w:val="28"/>
        </w:rPr>
        <w:t>наведен</w:t>
      </w:r>
      <w:r w:rsidR="00971F5B">
        <w:rPr>
          <w:rFonts w:ascii="Times New Roman" w:hAnsi="Times New Roman" w:cs="Times New Roman"/>
          <w:sz w:val="28"/>
          <w:szCs w:val="28"/>
        </w:rPr>
        <w:t>і</w:t>
      </w:r>
      <w:r w:rsidR="00971F5B" w:rsidRPr="008D462E">
        <w:rPr>
          <w:rFonts w:ascii="Times New Roman" w:hAnsi="Times New Roman" w:cs="Times New Roman"/>
          <w:sz w:val="28"/>
          <w:szCs w:val="28"/>
        </w:rPr>
        <w:t xml:space="preserve"> у повідомленні</w:t>
      </w:r>
      <w:r w:rsidR="00971F5B">
        <w:rPr>
          <w:rFonts w:ascii="Times New Roman" w:hAnsi="Times New Roman" w:cs="Times New Roman"/>
          <w:sz w:val="28"/>
          <w:szCs w:val="28"/>
        </w:rPr>
        <w:t>,</w:t>
      </w:r>
      <w:r w:rsidRPr="008D462E">
        <w:rPr>
          <w:rFonts w:ascii="Times New Roman" w:hAnsi="Times New Roman" w:cs="Times New Roman"/>
          <w:sz w:val="28"/>
          <w:szCs w:val="28"/>
        </w:rPr>
        <w:t xml:space="preserve"> порушує гарантії незалежності члена В</w:t>
      </w:r>
      <w:r w:rsidR="00353FE8" w:rsidRPr="008D462E">
        <w:rPr>
          <w:rFonts w:ascii="Times New Roman" w:hAnsi="Times New Roman" w:cs="Times New Roman"/>
          <w:sz w:val="28"/>
          <w:szCs w:val="28"/>
        </w:rPr>
        <w:t>ищої ради правосуддя т</w:t>
      </w:r>
      <w:r w:rsidRPr="008D462E">
        <w:rPr>
          <w:rFonts w:ascii="Times New Roman" w:hAnsi="Times New Roman" w:cs="Times New Roman"/>
          <w:sz w:val="28"/>
          <w:szCs w:val="28"/>
        </w:rPr>
        <w:t>а м</w:t>
      </w:r>
      <w:r w:rsidR="00353FE8" w:rsidRPr="008D462E">
        <w:rPr>
          <w:rFonts w:ascii="Times New Roman" w:hAnsi="Times New Roman" w:cs="Times New Roman"/>
          <w:sz w:val="28"/>
          <w:szCs w:val="28"/>
        </w:rPr>
        <w:t>істить ознаки створення штучних</w:t>
      </w:r>
      <w:r w:rsidRPr="008D462E">
        <w:rPr>
          <w:rFonts w:ascii="Times New Roman" w:hAnsi="Times New Roman" w:cs="Times New Roman"/>
          <w:sz w:val="28"/>
          <w:szCs w:val="28"/>
        </w:rPr>
        <w:t xml:space="preserve"> перешкод у його роботі.</w:t>
      </w:r>
    </w:p>
    <w:p w:rsidR="00125253" w:rsidRPr="008D462E" w:rsidRDefault="00971F5B" w:rsidP="008D462E">
      <w:pPr>
        <w:pStyle w:val="a7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</w:rPr>
        <w:t>Та</w:t>
      </w:r>
      <w:r w:rsidR="0076459E" w:rsidRPr="008D462E">
        <w:rPr>
          <w:rFonts w:ascii="Times New Roman" w:hAnsi="Times New Roman" w:cs="Times New Roman"/>
          <w:sz w:val="28"/>
          <w:szCs w:val="28"/>
        </w:rPr>
        <w:t xml:space="preserve">кі дії органу досудового розслідування мають бути перевірені уповноваженим органом </w:t>
      </w:r>
      <w:r w:rsidR="00125253" w:rsidRPr="008D462E">
        <w:rPr>
          <w:rFonts w:ascii="Times New Roman" w:eastAsia="Calibri" w:hAnsi="Times New Roman" w:cs="Times New Roman"/>
          <w:sz w:val="28"/>
          <w:szCs w:val="28"/>
          <w:lang w:bidi="uk-UA"/>
        </w:rPr>
        <w:t>– Офісом Генерального прокурора в порядку, передбачен</w:t>
      </w:r>
      <w:r>
        <w:rPr>
          <w:rFonts w:ascii="Times New Roman" w:eastAsia="Calibri" w:hAnsi="Times New Roman" w:cs="Times New Roman"/>
          <w:sz w:val="28"/>
          <w:szCs w:val="28"/>
          <w:lang w:bidi="uk-UA"/>
        </w:rPr>
        <w:t>ому</w:t>
      </w:r>
      <w:r w:rsidR="00125253" w:rsidRPr="008D462E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статтею 214 Кримінального процесуального кодексу України.</w:t>
      </w:r>
    </w:p>
    <w:p w:rsidR="00125253" w:rsidRPr="008D462E" w:rsidRDefault="00125253" w:rsidP="008D462E">
      <w:pPr>
        <w:pStyle w:val="a7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uk-UA"/>
        </w:rPr>
      </w:pPr>
      <w:r w:rsidRPr="008D462E">
        <w:rPr>
          <w:rFonts w:ascii="Times New Roman" w:eastAsia="Calibri" w:hAnsi="Times New Roman" w:cs="Times New Roman"/>
          <w:sz w:val="28"/>
          <w:szCs w:val="28"/>
        </w:rPr>
        <w:t>Відповідно до статті 131 Конституції України, статті 3 Закону України «Про Вищу раду правосуддя» Вища рада правосуддя вживає заходів щодо забезпечення авторитету правосуддя та незалежності суддів.</w:t>
      </w:r>
      <w:r w:rsidRPr="008D462E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</w:t>
      </w:r>
    </w:p>
    <w:p w:rsidR="00125253" w:rsidRPr="008D462E" w:rsidRDefault="00125253" w:rsidP="008D462E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462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uk-UA"/>
        </w:rPr>
        <w:t xml:space="preserve">Згідно з пунктом 8 частини першої статті 73 Закону України «Про Вищу раду правосуддя» Вища рада правосуддя з метою забезпечення незалежності суддів та авторитету правосуддя </w:t>
      </w:r>
      <w:r w:rsidRPr="008D462E">
        <w:rPr>
          <w:rFonts w:ascii="Times New Roman" w:eastAsia="Times New Roman" w:hAnsi="Times New Roman" w:cs="Times New Roman"/>
          <w:sz w:val="28"/>
          <w:szCs w:val="28"/>
          <w:lang w:eastAsia="uk-UA"/>
        </w:rPr>
        <w:t>вживає інших заходів, які є необхідними для забезпечення незалежності суддів та авторитету правосуддя.</w:t>
      </w:r>
    </w:p>
    <w:p w:rsidR="00125253" w:rsidRPr="00125253" w:rsidRDefault="00125253" w:rsidP="001252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125253">
        <w:rPr>
          <w:rFonts w:ascii="Times New Roman" w:eastAsia="Calibri" w:hAnsi="Times New Roman" w:cs="Times New Roman"/>
          <w:sz w:val="28"/>
          <w:szCs w:val="28"/>
        </w:rPr>
        <w:t xml:space="preserve">З огляду на викладене Вища рада правосуддя, керуючись статтею 131 Конституції України, статтями 3, 34, 73 Закону України «Про Вищу раду правосуддя», </w:t>
      </w:r>
    </w:p>
    <w:p w:rsidR="00125253" w:rsidRPr="00125253" w:rsidRDefault="00125253" w:rsidP="0012525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25253">
        <w:rPr>
          <w:rFonts w:ascii="Times New Roman" w:eastAsia="Calibri" w:hAnsi="Times New Roman" w:cs="Calibri"/>
          <w:b/>
          <w:sz w:val="28"/>
        </w:rPr>
        <w:t>вирішила:</w:t>
      </w:r>
      <w:r w:rsidRPr="0012525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125253" w:rsidRPr="00125253" w:rsidRDefault="00125253" w:rsidP="0012525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125253" w:rsidRPr="00125253" w:rsidRDefault="00125253" w:rsidP="0012525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/>
        </w:rPr>
      </w:pPr>
      <w:r w:rsidRPr="00125253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/>
        </w:rPr>
        <w:t xml:space="preserve">звернутися до Офісу Генерального прокурора щодо забезпечення проведення </w:t>
      </w:r>
      <w:r w:rsidR="00AB04FA" w:rsidRPr="00125253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/>
        </w:rPr>
        <w:t xml:space="preserve">з дотриманням приписів статті 19 Конституції України та статті 214 Кримінального процесуального кодексу України </w:t>
      </w:r>
      <w:r w:rsidRPr="00125253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/>
        </w:rPr>
        <w:t>перевірки обставин, повідомлених членом Вищої ради правосуд</w:t>
      </w:r>
      <w:r w:rsidR="00AB04FA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/>
        </w:rPr>
        <w:t>дя Грищуком Віктором Климовичем.</w:t>
      </w:r>
      <w:r w:rsidRPr="00125253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</w:p>
    <w:p w:rsidR="00125253" w:rsidRPr="00125253" w:rsidRDefault="00125253" w:rsidP="0012525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/>
        </w:rPr>
      </w:pPr>
    </w:p>
    <w:p w:rsidR="00125253" w:rsidRPr="00125253" w:rsidRDefault="00125253" w:rsidP="0012525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zh-CN"/>
        </w:rPr>
      </w:pPr>
    </w:p>
    <w:p w:rsidR="00125253" w:rsidRPr="00125253" w:rsidRDefault="00125253" w:rsidP="00125253">
      <w:pPr>
        <w:widowControl w:val="0"/>
        <w:tabs>
          <w:tab w:val="left" w:pos="765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5253">
        <w:rPr>
          <w:rFonts w:ascii="Times New Roman" w:eastAsia="Arial Unicode MS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Голова Вищої ради правосуддя </w:t>
      </w:r>
      <w:r w:rsidRPr="00125253">
        <w:rPr>
          <w:rFonts w:ascii="Times New Roman" w:eastAsia="Arial Unicode MS" w:hAnsi="Times New Roman" w:cs="Times New Roman"/>
          <w:b/>
          <w:sz w:val="28"/>
          <w:szCs w:val="28"/>
          <w:shd w:val="clear" w:color="auto" w:fill="FFFFFF"/>
          <w:lang w:eastAsia="zh-CN"/>
        </w:rPr>
        <w:tab/>
        <w:t xml:space="preserve">А.А. Овсієнко </w:t>
      </w:r>
    </w:p>
    <w:p w:rsidR="001A2B42" w:rsidRDefault="001A2B42"/>
    <w:sectPr w:rsidR="001A2B42" w:rsidSect="002E4808">
      <w:headerReference w:type="default" r:id="rId9"/>
      <w:pgSz w:w="11906" w:h="16838"/>
      <w:pgMar w:top="851" w:right="737" w:bottom="851" w:left="124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C16" w:rsidRDefault="00FB0C16">
      <w:pPr>
        <w:spacing w:after="0" w:line="240" w:lineRule="auto"/>
      </w:pPr>
      <w:r>
        <w:separator/>
      </w:r>
    </w:p>
  </w:endnote>
  <w:endnote w:type="continuationSeparator" w:id="0">
    <w:p w:rsidR="00FB0C16" w:rsidRDefault="00FB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C16" w:rsidRDefault="00FB0C16">
      <w:pPr>
        <w:spacing w:after="0" w:line="240" w:lineRule="auto"/>
      </w:pPr>
      <w:r>
        <w:separator/>
      </w:r>
    </w:p>
  </w:footnote>
  <w:footnote w:type="continuationSeparator" w:id="0">
    <w:p w:rsidR="00FB0C16" w:rsidRDefault="00FB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7458273"/>
      <w:docPartObj>
        <w:docPartGallery w:val="Page Numbers (Top of Page)"/>
        <w:docPartUnique/>
      </w:docPartObj>
    </w:sdtPr>
    <w:sdtEndPr/>
    <w:sdtContent>
      <w:p w:rsidR="002E4808" w:rsidRDefault="0012525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E0B" w:rsidRPr="00D31E0B">
          <w:rPr>
            <w:noProof/>
            <w:lang w:val="uk-UA"/>
          </w:rPr>
          <w:t>3</w:t>
        </w:r>
        <w:r>
          <w:fldChar w:fldCharType="end"/>
        </w:r>
      </w:p>
    </w:sdtContent>
  </w:sdt>
  <w:p w:rsidR="002E4808" w:rsidRDefault="00FB0C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DC3"/>
    <w:rsid w:val="00125253"/>
    <w:rsid w:val="00192DC3"/>
    <w:rsid w:val="001A2B42"/>
    <w:rsid w:val="002577E9"/>
    <w:rsid w:val="002D0DB1"/>
    <w:rsid w:val="00326897"/>
    <w:rsid w:val="00353FE8"/>
    <w:rsid w:val="003668E5"/>
    <w:rsid w:val="00417E34"/>
    <w:rsid w:val="004B1644"/>
    <w:rsid w:val="005C67AA"/>
    <w:rsid w:val="005E2F26"/>
    <w:rsid w:val="005F0E42"/>
    <w:rsid w:val="005F6939"/>
    <w:rsid w:val="00685CD2"/>
    <w:rsid w:val="0075782A"/>
    <w:rsid w:val="0076459E"/>
    <w:rsid w:val="00792319"/>
    <w:rsid w:val="007F3F70"/>
    <w:rsid w:val="008D462E"/>
    <w:rsid w:val="00971F5B"/>
    <w:rsid w:val="00A618DB"/>
    <w:rsid w:val="00AB04FA"/>
    <w:rsid w:val="00AC1D78"/>
    <w:rsid w:val="00B27FB0"/>
    <w:rsid w:val="00B51453"/>
    <w:rsid w:val="00C53ABB"/>
    <w:rsid w:val="00CF4826"/>
    <w:rsid w:val="00D31E0B"/>
    <w:rsid w:val="00D364B2"/>
    <w:rsid w:val="00DA077F"/>
    <w:rsid w:val="00E246D0"/>
    <w:rsid w:val="00F548DA"/>
    <w:rsid w:val="00F744A4"/>
    <w:rsid w:val="00FA5923"/>
    <w:rsid w:val="00FB0C16"/>
    <w:rsid w:val="00FD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84D9E"/>
  <w15:chartTrackingRefBased/>
  <w15:docId w15:val="{22C1C8E4-443B-4DCB-A992-6D625A3F2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5253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125253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rvps2">
    <w:name w:val="rvps2"/>
    <w:basedOn w:val="a"/>
    <w:rsid w:val="00792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4B16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B164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F3F70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8D46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5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bu.gov.ua/novyn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54%D0%BA/96-%D0%B2%D1%8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5267</Words>
  <Characters>3003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Краснощокова</dc:creator>
  <cp:keywords/>
  <dc:description/>
  <cp:lastModifiedBy>Наталія Сєлєнкова (VRU-IMP0480 - n.selenkova)</cp:lastModifiedBy>
  <cp:revision>23</cp:revision>
  <cp:lastPrinted>2020-07-23T14:59:00Z</cp:lastPrinted>
  <dcterms:created xsi:type="dcterms:W3CDTF">2020-07-23T14:20:00Z</dcterms:created>
  <dcterms:modified xsi:type="dcterms:W3CDTF">2020-07-24T10:44:00Z</dcterms:modified>
</cp:coreProperties>
</file>