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171" w:rsidRPr="00752E52" w:rsidRDefault="00BD4171" w:rsidP="00BD4171">
      <w:pPr>
        <w:pStyle w:val="a3"/>
        <w:ind w:right="6236"/>
        <w:jc w:val="both"/>
        <w:rPr>
          <w:rFonts w:ascii="AcademyC" w:hAnsi="AcademyC"/>
          <w:b/>
          <w:color w:val="002060"/>
        </w:rPr>
      </w:pPr>
    </w:p>
    <w:p w:rsidR="00BD4171" w:rsidRDefault="00BD4171" w:rsidP="00BD4171">
      <w:pPr>
        <w:spacing w:after="200" w:line="276" w:lineRule="auto"/>
        <w:contextualSpacing/>
        <w:jc w:val="both"/>
        <w:rPr>
          <w:color w:val="000000"/>
          <w:sz w:val="28"/>
          <w:szCs w:val="28"/>
        </w:rPr>
      </w:pPr>
    </w:p>
    <w:p w:rsidR="00BD4171" w:rsidRDefault="00BD4171" w:rsidP="00BD4171">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94FB0BA" wp14:editId="213B94E2">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BD4171" w:rsidRDefault="00BD4171" w:rsidP="00BD4171">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BD4171" w:rsidRDefault="00BD4171" w:rsidP="00BD4171">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BD4171" w:rsidTr="002D4098">
        <w:trPr>
          <w:trHeight w:val="188"/>
        </w:trPr>
        <w:tc>
          <w:tcPr>
            <w:tcW w:w="3131" w:type="dxa"/>
            <w:hideMark/>
          </w:tcPr>
          <w:p w:rsidR="00BD4171" w:rsidRDefault="00BD4171" w:rsidP="002D4098">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3</w:t>
            </w:r>
            <w:r>
              <w:rPr>
                <w:rFonts w:ascii="Times New Roman" w:hAnsi="Times New Roman"/>
                <w:noProof/>
                <w:color w:val="002060"/>
                <w:sz w:val="28"/>
                <w:szCs w:val="28"/>
              </w:rPr>
              <w:t>0</w:t>
            </w:r>
            <w:r>
              <w:rPr>
                <w:rFonts w:ascii="Times New Roman" w:hAnsi="Times New Roman"/>
                <w:noProof/>
                <w:color w:val="002060"/>
                <w:sz w:val="28"/>
                <w:szCs w:val="28"/>
              </w:rPr>
              <w:t xml:space="preserve"> липня 2020 </w:t>
            </w:r>
            <w:r>
              <w:rPr>
                <w:rFonts w:ascii="Times New Roman" w:hAnsi="Times New Roman"/>
                <w:noProof/>
                <w:color w:val="002060"/>
                <w:sz w:val="28"/>
                <w:szCs w:val="28"/>
                <w:lang w:val="en-US"/>
              </w:rPr>
              <w:t xml:space="preserve">року </w:t>
            </w:r>
          </w:p>
        </w:tc>
        <w:tc>
          <w:tcPr>
            <w:tcW w:w="3345" w:type="dxa"/>
            <w:hideMark/>
          </w:tcPr>
          <w:p w:rsidR="00BD4171" w:rsidRDefault="00BD4171" w:rsidP="002D4098">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BD4171" w:rsidRDefault="00BD4171" w:rsidP="00BD4171">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w:t>
            </w:r>
            <w:r>
              <w:rPr>
                <w:rFonts w:ascii="Times New Roman" w:hAnsi="Times New Roman"/>
                <w:noProof/>
                <w:color w:val="002060"/>
                <w:sz w:val="28"/>
                <w:szCs w:val="28"/>
              </w:rPr>
              <w:t>2322</w:t>
            </w:r>
            <w:bookmarkStart w:id="0" w:name="_GoBack"/>
            <w:bookmarkEnd w:id="0"/>
            <w:r>
              <w:rPr>
                <w:rFonts w:ascii="Times New Roman" w:hAnsi="Times New Roman"/>
                <w:noProof/>
                <w:color w:val="002060"/>
                <w:sz w:val="28"/>
                <w:szCs w:val="28"/>
              </w:rPr>
              <w:t>/0/15-20</w:t>
            </w:r>
          </w:p>
        </w:tc>
      </w:tr>
    </w:tbl>
    <w:p w:rsidR="00BD4171" w:rsidRDefault="00BD4171" w:rsidP="00BD4171">
      <w:pPr>
        <w:pStyle w:val="a3"/>
        <w:ind w:right="6237"/>
        <w:jc w:val="both"/>
        <w:rPr>
          <w:rFonts w:ascii="Times New Roman" w:hAnsi="Times New Roman"/>
          <w:b/>
          <w:sz w:val="24"/>
          <w:szCs w:val="24"/>
        </w:rPr>
      </w:pPr>
    </w:p>
    <w:p w:rsidR="00BD4171" w:rsidRDefault="00BD4171" w:rsidP="00BD4171">
      <w:pPr>
        <w:pStyle w:val="a3"/>
        <w:ind w:right="6237"/>
        <w:jc w:val="both"/>
        <w:rPr>
          <w:rFonts w:ascii="Times New Roman" w:hAnsi="Times New Roman"/>
          <w:b/>
          <w:sz w:val="24"/>
          <w:szCs w:val="24"/>
        </w:rPr>
      </w:pPr>
    </w:p>
    <w:p w:rsidR="00BD4171" w:rsidRDefault="00BD4171" w:rsidP="00BD4171">
      <w:pPr>
        <w:pStyle w:val="a3"/>
        <w:ind w:right="6237"/>
        <w:jc w:val="both"/>
        <w:rPr>
          <w:rFonts w:ascii="Times New Roman" w:hAnsi="Times New Roman"/>
          <w:b/>
          <w:sz w:val="24"/>
          <w:szCs w:val="24"/>
        </w:rPr>
      </w:pPr>
    </w:p>
    <w:p w:rsidR="00BD4171" w:rsidRDefault="00BD4171" w:rsidP="00BD4171">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висновку члена Вищої ради правосуддя про відсутність підстав для вжиття заходів щодо забезпечення незалежності суддів та авторитету правосуддя</w:t>
      </w:r>
    </w:p>
    <w:p w:rsidR="00BD4171" w:rsidRDefault="00BD4171" w:rsidP="00BD4171">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BD4171" w:rsidRDefault="00BD4171" w:rsidP="00BD4171">
      <w:pPr>
        <w:pStyle w:val="a3"/>
        <w:ind w:right="6236" w:firstLine="426"/>
        <w:jc w:val="both"/>
        <w:rPr>
          <w:rFonts w:ascii="Times New Roman" w:hAnsi="Times New Roman"/>
          <w:b/>
          <w:sz w:val="28"/>
          <w:szCs w:val="28"/>
        </w:rPr>
      </w:pPr>
    </w:p>
    <w:p w:rsidR="00BD4171" w:rsidRDefault="00BD4171" w:rsidP="00BD4171">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висновку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 про втручання в діяльність щодо здійснення правосуддя,</w:t>
      </w:r>
    </w:p>
    <w:p w:rsidR="00BD4171" w:rsidRDefault="00BD4171" w:rsidP="00BD4171">
      <w:pPr>
        <w:pStyle w:val="a3"/>
        <w:ind w:firstLine="709"/>
        <w:jc w:val="both"/>
        <w:rPr>
          <w:rFonts w:ascii="Times New Roman" w:hAnsi="Times New Roman"/>
          <w:sz w:val="28"/>
          <w:szCs w:val="28"/>
          <w:lang w:eastAsia="ru-RU"/>
        </w:rPr>
      </w:pPr>
    </w:p>
    <w:p w:rsidR="00BD4171" w:rsidRDefault="00BD4171" w:rsidP="00BD4171">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BD4171" w:rsidRDefault="00BD4171" w:rsidP="00BD4171">
      <w:pPr>
        <w:pStyle w:val="a3"/>
        <w:ind w:firstLine="709"/>
        <w:jc w:val="both"/>
        <w:rPr>
          <w:rFonts w:ascii="Times New Roman" w:hAnsi="Times New Roman"/>
          <w:b/>
          <w:sz w:val="28"/>
          <w:szCs w:val="28"/>
          <w:lang w:eastAsia="ru-RU"/>
        </w:rPr>
      </w:pPr>
    </w:p>
    <w:p w:rsidR="00BD4171" w:rsidRDefault="00BD4171" w:rsidP="00BD4171">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w:t>
      </w:r>
      <w:r>
        <w:rPr>
          <w:rFonts w:ascii="Times New Roman" w:hAnsi="Times New Roman"/>
          <w:sz w:val="28"/>
          <w:szCs w:val="28"/>
        </w:rPr>
        <w:t xml:space="preserve">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Гольник Лариси Владленівни (вхідний </w:t>
      </w:r>
      <w:r>
        <w:rPr>
          <w:rFonts w:ascii="Times New Roman" w:hAnsi="Times New Roman"/>
          <w:sz w:val="28"/>
          <w:szCs w:val="28"/>
        </w:rPr>
        <w:br/>
        <w:t xml:space="preserve">№ 2898/0/6-20 від 16 червня 2020 року) </w:t>
      </w:r>
      <w:r>
        <w:rPr>
          <w:rFonts w:ascii="Times New Roman" w:hAnsi="Times New Roman"/>
          <w:sz w:val="28"/>
          <w:szCs w:val="28"/>
          <w:lang w:eastAsia="ru-RU"/>
        </w:rPr>
        <w:t>про втручання в діяльність судді щодо здійснення правосуддя.</w:t>
      </w:r>
    </w:p>
    <w:p w:rsidR="00BD4171" w:rsidRDefault="00BD4171" w:rsidP="00BD4171">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 передане члену Вищої ради правосуддя для проведення перевірки.</w:t>
      </w:r>
    </w:p>
    <w:p w:rsidR="00BD4171" w:rsidRDefault="00BD4171" w:rsidP="00BD4171">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BD4171" w:rsidRDefault="00BD4171" w:rsidP="00BD4171">
      <w:pPr>
        <w:pStyle w:val="a3"/>
        <w:ind w:firstLine="709"/>
        <w:jc w:val="both"/>
        <w:rPr>
          <w:rFonts w:ascii="Times New Roman" w:eastAsia="Times New Roman" w:hAnsi="Times New Roman"/>
          <w:sz w:val="28"/>
          <w:szCs w:val="28"/>
          <w:lang w:eastAsia="ru-RU"/>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t xml:space="preserve">Шелест С.Б. повідомлення 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Гольник Л.В. не встановлено фактів втручання в її діяльність як судді, а також дій, що несуть загрозу незалежності суддів та авторитету правосуддя, про що складено відповідний висновок.</w:t>
      </w:r>
    </w:p>
    <w:p w:rsidR="00BD4171" w:rsidRDefault="00BD4171" w:rsidP="00BD4171">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BD4171" w:rsidRDefault="00BD4171" w:rsidP="00BD4171">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BD4171" w:rsidRDefault="00BD4171" w:rsidP="00BD4171">
      <w:pPr>
        <w:pStyle w:val="a3"/>
        <w:ind w:firstLine="709"/>
        <w:jc w:val="both"/>
        <w:rPr>
          <w:rFonts w:ascii="Times New Roman" w:eastAsia="Times New Roman" w:hAnsi="Times New Roman"/>
          <w:sz w:val="28"/>
          <w:szCs w:val="28"/>
          <w:lang w:eastAsia="ru-RU"/>
        </w:rPr>
      </w:pPr>
    </w:p>
    <w:p w:rsidR="00BD4171" w:rsidRDefault="00BD4171" w:rsidP="00BD4171">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BD4171" w:rsidRDefault="00BD4171" w:rsidP="00BD4171">
      <w:pPr>
        <w:pStyle w:val="a3"/>
        <w:jc w:val="center"/>
        <w:rPr>
          <w:rFonts w:ascii="Times New Roman" w:hAnsi="Times New Roman"/>
          <w:sz w:val="28"/>
          <w:szCs w:val="28"/>
        </w:rPr>
      </w:pPr>
    </w:p>
    <w:p w:rsidR="00BD4171" w:rsidRDefault="00BD4171" w:rsidP="00BD4171">
      <w:pPr>
        <w:pStyle w:val="a3"/>
        <w:jc w:val="both"/>
        <w:rPr>
          <w:rFonts w:ascii="Times New Roman" w:hAnsi="Times New Roman"/>
          <w:sz w:val="28"/>
          <w:szCs w:val="28"/>
        </w:rPr>
      </w:pPr>
      <w:r>
        <w:rPr>
          <w:rFonts w:ascii="Times New Roman" w:hAnsi="Times New Roman"/>
          <w:sz w:val="28"/>
          <w:szCs w:val="28"/>
        </w:rPr>
        <w:t xml:space="preserve">затвердити висновок члена Вищої ради правосуддя Шелест Світлани Богданівни про відсутність підстав для вжиття заходів щодо забезпечення незалежності суддів та авторитету правосуддя за повідомленням 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Гольник Лариси Владленівни (вхідний № 2898/0/6-20 від 16 червня 2020 року).</w:t>
      </w:r>
    </w:p>
    <w:p w:rsidR="00BD4171" w:rsidRDefault="00BD4171" w:rsidP="00BD4171">
      <w:pPr>
        <w:pStyle w:val="a3"/>
        <w:jc w:val="both"/>
        <w:rPr>
          <w:rFonts w:ascii="Times New Roman" w:hAnsi="Times New Roman"/>
          <w:sz w:val="28"/>
          <w:szCs w:val="28"/>
        </w:rPr>
      </w:pPr>
    </w:p>
    <w:p w:rsidR="00BD4171" w:rsidRDefault="00BD4171" w:rsidP="00BD4171">
      <w:pPr>
        <w:pStyle w:val="a3"/>
        <w:jc w:val="both"/>
        <w:rPr>
          <w:rFonts w:ascii="Times New Roman" w:hAnsi="Times New Roman"/>
          <w:sz w:val="28"/>
          <w:szCs w:val="28"/>
        </w:rPr>
      </w:pPr>
    </w:p>
    <w:p w:rsidR="00BD4171" w:rsidRDefault="00BD4171" w:rsidP="00BD4171">
      <w:pPr>
        <w:pStyle w:val="a3"/>
        <w:jc w:val="both"/>
        <w:rPr>
          <w:rFonts w:ascii="Times New Roman" w:hAnsi="Times New Roman"/>
          <w:sz w:val="28"/>
          <w:szCs w:val="28"/>
        </w:rPr>
      </w:pPr>
    </w:p>
    <w:p w:rsidR="00BD4171" w:rsidRDefault="00BD4171" w:rsidP="00BD4171">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9C09D3" w:rsidRDefault="009C09D3"/>
    <w:sectPr w:rsidR="009C09D3" w:rsidSect="001508CF">
      <w:headerReference w:type="default" r:id="rId5"/>
      <w:pgSz w:w="11906" w:h="16838"/>
      <w:pgMar w:top="1134" w:right="707"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CF" w:rsidRDefault="00BD4171">
    <w:pPr>
      <w:pStyle w:val="a5"/>
      <w:jc w:val="center"/>
    </w:pPr>
    <w:r>
      <w:fldChar w:fldCharType="begin"/>
    </w:r>
    <w:r>
      <w:instrText xml:space="preserve"> PAGE   \* MERGEFORMAT </w:instrText>
    </w:r>
    <w:r>
      <w:fldChar w:fldCharType="separate"/>
    </w:r>
    <w:r>
      <w:rPr>
        <w:noProof/>
      </w:rPr>
      <w:t>2</w:t>
    </w:r>
    <w:r>
      <w:rPr>
        <w:noProof/>
      </w:rPr>
      <w:fldChar w:fldCharType="end"/>
    </w:r>
  </w:p>
  <w:p w:rsidR="001508CF" w:rsidRDefault="00BD41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171"/>
    <w:rsid w:val="009C09D3"/>
    <w:rsid w:val="00BD4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B5641"/>
  <w15:chartTrackingRefBased/>
  <w15:docId w15:val="{BE0FEC7C-C1F5-492C-B33B-1E769060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17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D4171"/>
    <w:pPr>
      <w:spacing w:after="0" w:line="240" w:lineRule="auto"/>
    </w:pPr>
    <w:rPr>
      <w:rFonts w:ascii="Calibri" w:eastAsia="Calibri" w:hAnsi="Calibri" w:cs="Times New Roman"/>
    </w:rPr>
  </w:style>
  <w:style w:type="paragraph" w:styleId="a5">
    <w:name w:val="header"/>
    <w:basedOn w:val="a"/>
    <w:link w:val="a6"/>
    <w:uiPriority w:val="99"/>
    <w:unhideWhenUsed/>
    <w:rsid w:val="00BD4171"/>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D4171"/>
    <w:rPr>
      <w:rFonts w:ascii="Calibri" w:eastAsia="Calibri" w:hAnsi="Calibri" w:cs="Times New Roman"/>
    </w:rPr>
  </w:style>
  <w:style w:type="character" w:customStyle="1" w:styleId="a4">
    <w:name w:val="Без інтервалів Знак"/>
    <w:link w:val="a3"/>
    <w:uiPriority w:val="1"/>
    <w:locked/>
    <w:rsid w:val="00BD417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1465</Words>
  <Characters>836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2020-07-31T07:16:00Z</dcterms:created>
  <dcterms:modified xsi:type="dcterms:W3CDTF">2020-07-31T07:20:00Z</dcterms:modified>
</cp:coreProperties>
</file>