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C3" w:rsidRDefault="00B65BC3" w:rsidP="00B65BC3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B65BC3" w:rsidRPr="00330D28" w:rsidRDefault="00B65BC3" w:rsidP="00B65BC3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B65BC3" w:rsidRPr="00330D28" w:rsidRDefault="00B65BC3" w:rsidP="00B65BC3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B65BC3" w:rsidRPr="00330D28" w:rsidRDefault="00B65BC3" w:rsidP="00B65BC3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B65BC3" w:rsidRPr="00330D28" w:rsidRDefault="00B65BC3" w:rsidP="00B65BC3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B65BC3" w:rsidRDefault="00B65BC3" w:rsidP="00B65BC3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B65BC3" w:rsidRDefault="00B65BC3" w:rsidP="00B65BC3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B65BC3" w:rsidRPr="002719D5" w:rsidRDefault="00B65BC3" w:rsidP="00B65BC3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864"/>
        <w:gridCol w:w="1445"/>
        <w:gridCol w:w="3624"/>
      </w:tblGrid>
      <w:tr w:rsidR="00B65BC3" w:rsidRPr="00330D28" w:rsidTr="00761869">
        <w:trPr>
          <w:trHeight w:val="188"/>
        </w:trPr>
        <w:tc>
          <w:tcPr>
            <w:tcW w:w="3098" w:type="dxa"/>
            <w:gridSpan w:val="2"/>
          </w:tcPr>
          <w:p w:rsidR="00B65BC3" w:rsidRPr="00330D28" w:rsidRDefault="00B65BC3" w:rsidP="00761869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9 вересня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</w:tcPr>
          <w:p w:rsidR="00B65BC3" w:rsidRPr="00330D28" w:rsidRDefault="00B65BC3" w:rsidP="00761869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B65BC3" w:rsidRPr="00330D28" w:rsidRDefault="00B65BC3" w:rsidP="000C7926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 w:rsidR="000C7926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2604</w:t>
            </w:r>
            <w:bookmarkStart w:id="0" w:name="_GoBack"/>
            <w:bookmarkEnd w:id="0"/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B65BC3" w:rsidRPr="00B65BC3" w:rsidTr="00761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5BC3" w:rsidRDefault="00B65BC3" w:rsidP="007618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B65BC3" w:rsidRDefault="00B65BC3" w:rsidP="0076186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Лисака А.А. стосовно судді Новокаховського міського суду Херсонської області 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атвєєвої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суддів Херсонсь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кого апеляційного суду Ігнатенко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П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., Воронцової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., Полікарпової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повідомленням судді Сосницького районного суду Чернігівської області Смаль 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про втручання у діяльність судді щодо здійснення правосуддя з боку голови Сосницького районного суду Чернігівської області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тельмаха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Грудцини О.М. стосовно судді Красногвардійського районного суду міста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Дніпропетровська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   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еркеза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Неїлик Г.М., Неїлик Є.І., Велитяк Л.І. стосовно судді Печерського районного суду міста Києва Б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усик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Неїлик Г.М. стосовно судді Печерського районного суду міста Києва 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стапчук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>Клименка О.В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., в інтересах Дербіної З.О. стосовно судді Шевченківського районного суду міста Києва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акаренко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2B767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</w:p>
          <w:p w:rsidR="00B65BC3" w:rsidRPr="002B767B" w:rsidRDefault="00B65BC3" w:rsidP="00761869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B65BC3" w:rsidRPr="002719D5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B65BC3" w:rsidRDefault="00B65BC3" w:rsidP="00B65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5BC3" w:rsidRDefault="00B65BC3" w:rsidP="00B65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ворухи В.І., Гречківського П.М.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B65BC3" w:rsidRPr="00F1414F" w:rsidRDefault="00B65BC3" w:rsidP="00B65BC3">
      <w:pPr>
        <w:spacing w:after="0" w:line="240" w:lineRule="auto"/>
        <w:ind w:firstLine="709"/>
        <w:jc w:val="both"/>
        <w:rPr>
          <w:rStyle w:val="rvts9"/>
          <w:rFonts w:ascii="Times New Roman" w:hAnsi="Times New Roman"/>
          <w:color w:val="000000"/>
          <w:sz w:val="28"/>
          <w:szCs w:val="28"/>
          <w:lang w:val="uk-UA"/>
        </w:rPr>
      </w:pPr>
    </w:p>
    <w:p w:rsidR="00B65BC3" w:rsidRDefault="00B65BC3" w:rsidP="00B65BC3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65BC3" w:rsidRPr="008B1D90" w:rsidRDefault="00B65BC3" w:rsidP="00B65BC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в</w:t>
      </w: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становила:</w:t>
      </w:r>
    </w:p>
    <w:p w:rsidR="00B65BC3" w:rsidRDefault="00B65BC3" w:rsidP="00B65B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18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                        номером Л-1861/32/7-20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Лисака 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 xml:space="preserve"> судді Новокаховського міського суду Херсонської області Матвєєвої 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, суддів Херсонського апеляційного суду Ігнатенко 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, Воронцової 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, Полікарпової 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661/2769/19.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27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3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                        номером 3631/0/6-20 надійшло повідомлення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6A83">
        <w:rPr>
          <w:rFonts w:ascii="Times New Roman" w:hAnsi="Times New Roman" w:cs="Times New Roman"/>
          <w:sz w:val="28"/>
          <w:szCs w:val="28"/>
          <w:lang w:val="uk-UA"/>
        </w:rPr>
        <w:t>судді Сосницького районного суду Чернігівської області Смаль 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56A83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56A83">
        <w:rPr>
          <w:rFonts w:ascii="Times New Roman" w:hAnsi="Times New Roman" w:cs="Times New Roman"/>
          <w:sz w:val="28"/>
          <w:szCs w:val="28"/>
          <w:lang w:val="uk-UA"/>
        </w:rPr>
        <w:t xml:space="preserve"> про втручання у діяльність судді щодо здійснення правосуддя з боку голови Сосницького районного суду Чернігівської області Стельмаха 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56A8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. 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26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>
        <w:rPr>
          <w:rFonts w:ascii="Times New Roman" w:hAnsi="Times New Roman" w:cs="Times New Roman"/>
          <w:sz w:val="28"/>
          <w:szCs w:val="28"/>
          <w:lang w:val="uk-UA"/>
        </w:rPr>
        <w:t>оскільки в діях голови суду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</w:t>
      </w:r>
      <w:r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21 серпня 2020 року за вхідним номером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                  Г-4706/0/7-20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Грудцини О.М.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Красногвардійського районного суду міста Дніпропетровська Черкеза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Д.Л.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204/5199/20.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26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</w:t>
      </w:r>
      <w:r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11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КО-4401/1/7-20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Неїлик Г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М</w:t>
      </w:r>
      <w:r>
        <w:rPr>
          <w:rFonts w:ascii="Times New Roman" w:eastAsia="Calibri" w:hAnsi="Times New Roman" w:cs="Times New Roman"/>
          <w:sz w:val="28"/>
          <w:lang w:val="uk-UA" w:eastAsia="ru-RU"/>
        </w:rPr>
        <w:t>.,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Неїлик Є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, Велитяк Л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Печерського районного суду міста Києва Бусик О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Л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757/60792/19-к.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25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11 серпня 2020 року за вхідним номером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Н-2919/4/7-20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Неїлик Г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М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на дії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Печерського районного суду міста Києва Остапчук Т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</w:t>
      </w:r>
      <w:r>
        <w:rPr>
          <w:rFonts w:ascii="Times New Roman" w:eastAsia="Calibri" w:hAnsi="Times New Roman" w:cs="Times New Roman"/>
          <w:sz w:val="28"/>
          <w:lang w:val="uk-UA" w:eastAsia="ru-RU"/>
        </w:rPr>
        <w:t>равосуддя у справі № 757/22046/20.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20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14 серпня 2020 року за вхідним номером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                  К-4602/0/7-20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адвоката Клименка О.В. в інтересах Дербіної З.О.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Шевченків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ського районного суду міста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Києва Макаренко І.О.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761/21089/20.</w:t>
      </w:r>
    </w:p>
    <w:p w:rsidR="00B65BC3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31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</w:t>
      </w:r>
      <w:r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BC3" w:rsidRPr="00330D28" w:rsidRDefault="00B65BC3" w:rsidP="00B65BC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B65BC3" w:rsidRPr="00330D28" w:rsidRDefault="00B65BC3" w:rsidP="00B65B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B65BC3" w:rsidRPr="00330D28" w:rsidRDefault="00B65BC3" w:rsidP="00B65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B65BC3" w:rsidRPr="00330D28" w:rsidRDefault="00B65BC3" w:rsidP="00B65BC3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B65BC3" w:rsidRPr="00330D28" w:rsidRDefault="00B65BC3" w:rsidP="00B65BC3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B65BC3" w:rsidRPr="00330D28" w:rsidRDefault="00B65BC3" w:rsidP="00B65BC3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B65BC3" w:rsidRPr="00E90106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F3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исциплінарної справи за скаргою 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>Лисака Анатолія Андрійовича стосовно судді Новокаховського міського суду Херсонської області Матвєєвої Наталії Василівни, суддів Херсонського апеляційного суду Ігнатенко Поліни Яківни, Воронцової Лариси Петрівни, Полікарпової Ольги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0670" w:rsidRDefault="00770670" w:rsidP="00B65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BC3" w:rsidRDefault="00B65BC3" w:rsidP="00B65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повідомленням  судді Сосницького 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>районного суду Чернігівської області Смаль Інни Анатоліївни про втручання у діяльність судді щодо здійснення правосуддя з боку голови Сосницького районного суду Чернігівської області Стельмаха Андрія Петровича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BC3" w:rsidRDefault="00B65BC3" w:rsidP="00B65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>Грудцини Олександри Миколаївни стосовно судді Красногвардійського районного суду міста Дніпропетровська Черкеза Дмитра Леонідовича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BC3" w:rsidRDefault="00B65BC3" w:rsidP="00B65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>Неїлик Галини Михайлівни, Неїлик Євгенії Іванівни, Велитяк Лідії Іванівни стосовно судді Печерського районного суду міст</w:t>
      </w:r>
      <w:r>
        <w:rPr>
          <w:rFonts w:ascii="Times New Roman" w:hAnsi="Times New Roman" w:cs="Times New Roman"/>
          <w:sz w:val="28"/>
          <w:szCs w:val="28"/>
          <w:lang w:val="uk-UA"/>
        </w:rPr>
        <w:t>а Києва Бусик Олени Леонідівни.</w:t>
      </w:r>
    </w:p>
    <w:p w:rsidR="00B65BC3" w:rsidRPr="001F1435" w:rsidRDefault="00B65BC3" w:rsidP="00B65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Неїлик Галини Михайлівни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Печерського районного суду міста Києва  Остапчук Тетяни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BC3" w:rsidRPr="001F1435" w:rsidRDefault="00B65BC3" w:rsidP="00B65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>двоката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Клименка Олега Вікторовича 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>в інтере</w:t>
      </w:r>
      <w:r>
        <w:rPr>
          <w:rFonts w:ascii="Times New Roman" w:hAnsi="Times New Roman" w:cs="Times New Roman"/>
          <w:sz w:val="28"/>
          <w:szCs w:val="28"/>
          <w:lang w:val="uk-UA"/>
        </w:rPr>
        <w:t>сах Дербіної Зареслави Олегівни</w:t>
      </w:r>
      <w:r w:rsidRPr="007A34C9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Шевченківського районного суду міста Києва Макаренко Ірини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BC3" w:rsidRPr="001F1435" w:rsidRDefault="00B65BC3" w:rsidP="00B65B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B65BC3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5BC3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0670" w:rsidRDefault="00770670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0670" w:rsidRDefault="00770670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5BC3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5BC3" w:rsidRPr="00330D28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</w:t>
      </w:r>
    </w:p>
    <w:p w:rsidR="00B65BC3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B65BC3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</w:p>
    <w:p w:rsidR="00B65BC3" w:rsidRDefault="00B65BC3" w:rsidP="00B65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5BC3" w:rsidRDefault="00B65BC3" w:rsidP="00B65BC3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B65BC3" w:rsidRPr="006A4569" w:rsidRDefault="00B65BC3" w:rsidP="00B65BC3">
      <w:pPr>
        <w:rPr>
          <w:lang w:val="uk-UA"/>
        </w:rPr>
      </w:pPr>
    </w:p>
    <w:p w:rsidR="00B65BC3" w:rsidRDefault="00B65BC3" w:rsidP="00B65BC3"/>
    <w:p w:rsidR="00367A65" w:rsidRDefault="00367A65"/>
    <w:sectPr w:rsidR="00367A65" w:rsidSect="00223F79">
      <w:headerReference w:type="default" r:id="rId7"/>
      <w:pgSz w:w="11906" w:h="16838"/>
      <w:pgMar w:top="426" w:right="850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02F" w:rsidRDefault="00770670">
      <w:pPr>
        <w:spacing w:after="0" w:line="240" w:lineRule="auto"/>
      </w:pPr>
      <w:r>
        <w:separator/>
      </w:r>
    </w:p>
  </w:endnote>
  <w:endnote w:type="continuationSeparator" w:id="0">
    <w:p w:rsidR="008C102F" w:rsidRDefault="0077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02F" w:rsidRDefault="00770670">
      <w:pPr>
        <w:spacing w:after="0" w:line="240" w:lineRule="auto"/>
      </w:pPr>
      <w:r>
        <w:separator/>
      </w:r>
    </w:p>
  </w:footnote>
  <w:footnote w:type="continuationSeparator" w:id="0">
    <w:p w:rsidR="008C102F" w:rsidRDefault="0077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2284155"/>
      <w:docPartObj>
        <w:docPartGallery w:val="Page Numbers (Top of Page)"/>
        <w:docPartUnique/>
      </w:docPartObj>
    </w:sdtPr>
    <w:sdtEndPr/>
    <w:sdtContent>
      <w:p w:rsidR="00F1414F" w:rsidRDefault="00B65BC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79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414F" w:rsidRDefault="000C79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5BC3"/>
    <w:rsid w:val="000C7926"/>
    <w:rsid w:val="001A51C5"/>
    <w:rsid w:val="00367A65"/>
    <w:rsid w:val="00770670"/>
    <w:rsid w:val="008C102F"/>
    <w:rsid w:val="00B65BC3"/>
    <w:rsid w:val="00F6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E4318"/>
  <w15:docId w15:val="{4DB59FB6-1520-45F9-8C99-063F6B67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BC3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B65BC3"/>
    <w:rPr>
      <w:rFonts w:cs="Times New Roman"/>
    </w:rPr>
  </w:style>
  <w:style w:type="paragraph" w:styleId="a3">
    <w:name w:val="Body Text"/>
    <w:basedOn w:val="a"/>
    <w:link w:val="a4"/>
    <w:rsid w:val="00B65BC3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B65BC3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6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65BC3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5256</Words>
  <Characters>2996</Characters>
  <Application>Microsoft Office Word</Application>
  <DocSecurity>0</DocSecurity>
  <Lines>24</Lines>
  <Paragraphs>16</Paragraphs>
  <ScaleCrop>false</ScaleCrop>
  <Company>Microsoft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3</cp:revision>
  <dcterms:created xsi:type="dcterms:W3CDTF">2020-09-09T07:28:00Z</dcterms:created>
  <dcterms:modified xsi:type="dcterms:W3CDTF">2020-09-10T11:20:00Z</dcterms:modified>
</cp:coreProperties>
</file>