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61" w:rsidRDefault="00BC7961" w:rsidP="00BC7961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BC7961" w:rsidRDefault="00BC7961" w:rsidP="00BC7961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528856E" wp14:editId="1E939B43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BC7961" w:rsidRDefault="00BC7961" w:rsidP="00BC7961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BC7961" w:rsidRDefault="00BC7961" w:rsidP="00BC7961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BC7961" w:rsidTr="00687090">
        <w:trPr>
          <w:trHeight w:val="188"/>
        </w:trPr>
        <w:tc>
          <w:tcPr>
            <w:tcW w:w="3131" w:type="dxa"/>
            <w:hideMark/>
          </w:tcPr>
          <w:p w:rsidR="00BC7961" w:rsidRDefault="00BC7961" w:rsidP="00BC7961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вересня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BC7961" w:rsidRDefault="00BC7961" w:rsidP="00687090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BC7961" w:rsidRDefault="00BC7961" w:rsidP="00BC7961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2715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BC7961" w:rsidRPr="002E7D52" w:rsidRDefault="00BC7961" w:rsidP="00BC7961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BC7961" w:rsidRDefault="00BC7961" w:rsidP="00BC7961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C7961" w:rsidRDefault="00BC7961" w:rsidP="00BC7961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BC7961" w:rsidRPr="00752E52" w:rsidRDefault="00BC7961" w:rsidP="00BC7961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BC7961" w:rsidRPr="00752E52" w:rsidRDefault="00BC7961" w:rsidP="00BC7961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BC7961" w:rsidRPr="00752E52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ища рада правосуддя, заслухавши заступника </w:t>
      </w:r>
      <w:r w:rsidRPr="00752E52">
        <w:rPr>
          <w:rFonts w:ascii="Times New Roman" w:hAnsi="Times New Roman"/>
          <w:sz w:val="28"/>
          <w:szCs w:val="28"/>
          <w:lang w:eastAsia="ru-RU"/>
        </w:rPr>
        <w:t>Голов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Маловацького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О.В.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BC7961" w:rsidRPr="00752E52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7961" w:rsidRPr="00752E52" w:rsidRDefault="00BC7961" w:rsidP="00BC7961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BC7961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7961" w:rsidRDefault="00BC7961" w:rsidP="00BC796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7961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Господарського суду Львівської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Березяк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Євгенівни (вхідний № 4246/0/6-20 від 15 вересня 2020 року);</w:t>
      </w:r>
    </w:p>
    <w:p w:rsidR="00BC7961" w:rsidRPr="00B669E6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669E6">
        <w:rPr>
          <w:rFonts w:ascii="Times New Roman" w:hAnsi="Times New Roman"/>
          <w:sz w:val="28"/>
          <w:szCs w:val="28"/>
        </w:rPr>
        <w:t>судді Приморського районного суду міста Одеси Іванова Віктора Васильовича</w:t>
      </w:r>
      <w:r>
        <w:rPr>
          <w:rFonts w:ascii="Times New Roman" w:hAnsi="Times New Roman"/>
          <w:sz w:val="28"/>
          <w:szCs w:val="28"/>
        </w:rPr>
        <w:t xml:space="preserve"> (вхідний № 3502/0/6-20 від 24 липня 2020 року).</w:t>
      </w:r>
    </w:p>
    <w:p w:rsidR="00BC7961" w:rsidRPr="00752E52" w:rsidRDefault="00BC7961" w:rsidP="00BC7961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BC7961" w:rsidRPr="00752E52" w:rsidRDefault="00BC7961" w:rsidP="00BC796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BC7961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BC7961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Прудивусом О.В. – повідомлення судді Господарського суду Львівської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Березяк</w:t>
      </w:r>
      <w:proofErr w:type="spellEnd"/>
      <w:r>
        <w:rPr>
          <w:rFonts w:ascii="Times New Roman" w:hAnsi="Times New Roman"/>
          <w:sz w:val="28"/>
          <w:szCs w:val="28"/>
        </w:rPr>
        <w:t xml:space="preserve"> Н.Є.;</w:t>
      </w:r>
    </w:p>
    <w:p w:rsidR="00BC7961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В.В. – повідомлення судді </w:t>
      </w:r>
      <w:r w:rsidRPr="00B669E6">
        <w:rPr>
          <w:rFonts w:ascii="Times New Roman" w:hAnsi="Times New Roman"/>
          <w:sz w:val="28"/>
          <w:szCs w:val="28"/>
        </w:rPr>
        <w:t>Приморського районного суду міста Одеси Іванова</w:t>
      </w:r>
      <w:r>
        <w:rPr>
          <w:rFonts w:ascii="Times New Roman" w:hAnsi="Times New Roman"/>
          <w:sz w:val="28"/>
          <w:szCs w:val="28"/>
        </w:rPr>
        <w:t xml:space="preserve"> В.В., не встановлено фактів втручання в їхню діяльність як суддів, </w:t>
      </w:r>
      <w:r>
        <w:rPr>
          <w:rFonts w:ascii="Times New Roman" w:hAnsi="Times New Roman"/>
          <w:sz w:val="28"/>
          <w:szCs w:val="28"/>
        </w:rPr>
        <w:lastRenderedPageBreak/>
        <w:t>а також дій, що несуть загрозу незалежності суддів та авторитету правосуддя, про що складено відповідні висновки.</w:t>
      </w:r>
    </w:p>
    <w:p w:rsidR="00BC7961" w:rsidRPr="00752E52" w:rsidRDefault="00BC7961" w:rsidP="00BC79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BC7961" w:rsidRDefault="00BC7961" w:rsidP="00BC796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BC7961" w:rsidRPr="00752E52" w:rsidRDefault="00BC7961" w:rsidP="00BC796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7961" w:rsidRDefault="00BC7961" w:rsidP="00BC7961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BC7961" w:rsidRDefault="00BC7961" w:rsidP="00BC7961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7961" w:rsidRPr="00752E52" w:rsidRDefault="00BC7961" w:rsidP="00BC79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BC7961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Прудивуса Олега Васильовича за повідомленням судді Господарського суду Львівської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Березяк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Євгенівни (вхідний № 4246/0/6-20 від 15 вересня 2020 року);</w:t>
      </w:r>
    </w:p>
    <w:p w:rsidR="00BC7961" w:rsidRPr="00B669E6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Віктора Валентиновича за повідомленням </w:t>
      </w:r>
      <w:r w:rsidRPr="00B669E6">
        <w:rPr>
          <w:rFonts w:ascii="Times New Roman" w:hAnsi="Times New Roman"/>
          <w:sz w:val="28"/>
          <w:szCs w:val="28"/>
        </w:rPr>
        <w:t>судді Приморського районного суду міста Одеси Іванова Віктора Васильовича</w:t>
      </w:r>
      <w:r>
        <w:rPr>
          <w:rFonts w:ascii="Times New Roman" w:hAnsi="Times New Roman"/>
          <w:sz w:val="28"/>
          <w:szCs w:val="28"/>
        </w:rPr>
        <w:t xml:space="preserve"> (вхідний </w:t>
      </w:r>
      <w:r>
        <w:rPr>
          <w:rFonts w:ascii="Times New Roman" w:hAnsi="Times New Roman"/>
          <w:sz w:val="28"/>
          <w:szCs w:val="28"/>
        </w:rPr>
        <w:br/>
        <w:t>№ 3502/0/6-20 від 24 липня 2020 року).</w:t>
      </w:r>
    </w:p>
    <w:p w:rsidR="00BC7961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C7961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C7961" w:rsidRDefault="00BC7961" w:rsidP="00BC79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C7961" w:rsidRDefault="00BC7961" w:rsidP="00BC79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Голови </w:t>
      </w:r>
    </w:p>
    <w:p w:rsidR="00BC7961" w:rsidRDefault="00BC7961" w:rsidP="00BC7961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О.В. </w:t>
      </w:r>
      <w:proofErr w:type="spellStart"/>
      <w:r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  <w:r>
        <w:t xml:space="preserve"> </w:t>
      </w:r>
    </w:p>
    <w:p w:rsidR="00BC7961" w:rsidRDefault="00BC7961" w:rsidP="00BC7961"/>
    <w:p w:rsidR="00BC7961" w:rsidRDefault="00BC7961" w:rsidP="00BC7961"/>
    <w:p w:rsidR="00BC7961" w:rsidRDefault="00BC7961" w:rsidP="00BC7961"/>
    <w:p w:rsidR="0091648A" w:rsidRDefault="0091648A"/>
    <w:sectPr w:rsidR="0091648A" w:rsidSect="008D627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27A" w:rsidRDefault="00BC796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627A" w:rsidRDefault="00BC79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61"/>
    <w:rsid w:val="0091648A"/>
    <w:rsid w:val="00B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82C10"/>
  <w15:chartTrackingRefBased/>
  <w15:docId w15:val="{5E6241C7-DCB1-411F-B00A-44B208E0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C796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C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C7961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BC79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2020-09-28T10:52:00Z</dcterms:created>
  <dcterms:modified xsi:type="dcterms:W3CDTF">2020-09-28T10:54:00Z</dcterms:modified>
</cp:coreProperties>
</file>