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0C" w:rsidRPr="00E0270C" w:rsidRDefault="00E0270C" w:rsidP="00E0270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AEEA84" wp14:editId="5367B5B3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E0270C" w:rsidRPr="00E0270C" w:rsidTr="007C3355">
        <w:trPr>
          <w:trHeight w:val="188"/>
        </w:trPr>
        <w:tc>
          <w:tcPr>
            <w:tcW w:w="3726" w:type="dxa"/>
            <w:hideMark/>
          </w:tcPr>
          <w:p w:rsidR="00E0270C" w:rsidRPr="00E0270C" w:rsidRDefault="00015AD2" w:rsidP="00E0270C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28 вересня 2020 року</w:t>
            </w:r>
            <w:r w:rsidR="00E0270C" w:rsidRPr="00E0270C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E0270C" w:rsidRPr="00E0270C" w:rsidRDefault="00E0270C" w:rsidP="00E0270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E0270C" w:rsidRPr="00E0270C" w:rsidRDefault="00E0270C" w:rsidP="00015AD2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E02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№ </w:t>
            </w:r>
            <w:r w:rsidR="00015A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2727/2дп/15-20</w:t>
            </w:r>
            <w:bookmarkStart w:id="0" w:name="_GoBack"/>
            <w:bookmarkEnd w:id="0"/>
          </w:p>
        </w:tc>
      </w:tr>
      <w:tr w:rsidR="00E0270C" w:rsidRPr="00E0270C" w:rsidTr="007C3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70C" w:rsidRPr="00D80763" w:rsidRDefault="00E0270C" w:rsidP="000B2762">
            <w:pPr>
              <w:widowControl w:val="0"/>
              <w:spacing w:after="0" w:line="240" w:lineRule="auto"/>
              <w:ind w:right="-110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відмову у відкритті дисциплінарних справ за скаргами</w:t>
            </w:r>
            <w:r w:rsidR="00D8076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адвоката Романенка Я.М.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стосовно судді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Шостого апеляційного адміністративного суду</w:t>
            </w:r>
            <w:r w:rsidR="00D8076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Епель</w:t>
            </w:r>
            <w:proofErr w:type="spellEnd"/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О.В., Губської Л.В., Шурка О.І.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Білякович</w:t>
            </w:r>
            <w:proofErr w:type="spellEnd"/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І.М.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Чернігівського окружного адміністративного суду</w:t>
            </w:r>
            <w:r w:rsidR="001B70F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Житняк Л.О.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1211F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ТОВ «ФК Єврокредит» 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стосовно судді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Касаційного господарського суду у складі Верховного Суду</w:t>
            </w:r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Білоуса В.В., </w:t>
            </w:r>
            <w:proofErr w:type="spellStart"/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Огородніка</w:t>
            </w:r>
            <w:proofErr w:type="spellEnd"/>
            <w:r w:rsidR="000253B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К.М., Погребняка В.Я.</w:t>
            </w:r>
          </w:p>
          <w:p w:rsidR="00E0270C" w:rsidRPr="00E0270C" w:rsidRDefault="00E0270C" w:rsidP="000B2762">
            <w:pPr>
              <w:spacing w:after="0" w:line="240" w:lineRule="auto"/>
              <w:ind w:right="-110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Друга Дисциплінарна палата</w:t>
      </w:r>
      <w:r w:rsidR="004D649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Вищої ради правосуддя у складі</w:t>
      </w:r>
      <w:r w:rsidR="004D649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головуючого – </w:t>
      </w:r>
      <w:r w:rsidR="00FD58AF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Худика М.П.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членів Другої Дисциплінарної палати Вищої ради правосуддя Артеменка І.А., </w:t>
      </w:r>
      <w:proofErr w:type="spellStart"/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Блажівської</w:t>
      </w:r>
      <w:proofErr w:type="spellEnd"/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О.Є.,</w:t>
      </w:r>
      <w:r w:rsidR="00423D6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Прудивуса О.В.</w:t>
      </w:r>
      <w:r w:rsidR="000706D6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,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розглянувши висновки</w:t>
      </w:r>
      <w:r w:rsidR="00423D6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доповідача – члена Другої Дисциплінарної палати Вищої ради правосуддя </w:t>
      </w:r>
      <w:r w:rsidR="00FD58AF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Грищука В.К.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за результатами попередньої перевірки скарг, 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0270C" w:rsidRPr="00E12C37" w:rsidRDefault="00E0270C" w:rsidP="00E12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встановила: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0270C" w:rsidRPr="00E12C37" w:rsidRDefault="00E0270C" w:rsidP="00E12C37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 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30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липня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2020 року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до Вищої ради правосуддя за вхідним</w:t>
      </w:r>
      <w:r w:rsidR="00B3746E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950415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№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6859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/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0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/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8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-20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надійшл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а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скарг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адвоката Романенка Я.М.</w:t>
      </w:r>
      <w:r w:rsidR="009622EF">
        <w:rPr>
          <w:rFonts w:ascii="Times New Roman" w:eastAsia="Calibri" w:hAnsi="Times New Roman" w:cs="Times New Roman"/>
          <w:sz w:val="27"/>
          <w:szCs w:val="27"/>
          <w:lang w:eastAsia="ru-RU"/>
        </w:rPr>
        <w:t>, подана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інтересах Національної асоціації адвокатів України</w:t>
      </w:r>
      <w:r w:rsidR="00B26544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на дії судді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в</w:t>
      </w:r>
      <w:r w:rsidR="009833AE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Шостого апеляційного</w:t>
      </w:r>
      <w:r w:rsidR="00E5276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DD20F8">
        <w:rPr>
          <w:rFonts w:ascii="Times New Roman" w:eastAsia="Calibri" w:hAnsi="Times New Roman" w:cs="Times New Roman"/>
          <w:sz w:val="27"/>
          <w:szCs w:val="27"/>
          <w:lang w:eastAsia="ru-RU"/>
        </w:rPr>
        <w:t>адміністративного</w:t>
      </w:r>
      <w:r w:rsidR="000253BA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суду </w:t>
      </w:r>
      <w:proofErr w:type="spellStart"/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Епель</w:t>
      </w:r>
      <w:proofErr w:type="spellEnd"/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О.В., Губської Л.В., Шурка</w:t>
      </w:r>
      <w:r w:rsidR="00DD20F8">
        <w:rPr>
          <w:rFonts w:ascii="Times New Roman" w:eastAsia="Calibri" w:hAnsi="Times New Roman" w:cs="Times New Roman"/>
          <w:sz w:val="27"/>
          <w:szCs w:val="27"/>
          <w:lang w:eastAsia="ru-RU"/>
        </w:rPr>
        <w:t> 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О.І.</w:t>
      </w:r>
      <w:r w:rsidR="00B26544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під час розгляду справ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и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№</w:t>
      </w:r>
      <w:r w:rsidR="00D80763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320/3957/20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0841A9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</w:t>
      </w:r>
      <w:r w:rsidR="00BA6C0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ами попередньої перевірки скарг</w:t>
      </w:r>
      <w:r w:rsidR="000841A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и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доповідачем – членом Другої Дисциплінарної палати Вищої ради правосуддя </w:t>
      </w:r>
      <w:r w:rsidR="00FD58AF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Грищуком В.К.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складено висновок від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17</w:t>
      </w:r>
      <w:r w:rsidR="00B26544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вересня</w:t>
      </w:r>
      <w:r w:rsidR="00B26544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2020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року </w:t>
      </w:r>
      <w:r w:rsidR="000841A9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про відсутність підстав для відкриття дисциплінарної справи, оскільки суть скарги зводиться лише до незгоди із судовим рішенням </w:t>
      </w:r>
      <w:r w:rsidR="00DD20F8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    </w:t>
      </w:r>
      <w:r w:rsidR="000841A9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(пункт 4 частини першої статті 45 Закону України «Про Вищу раду правосуддя»)</w:t>
      </w:r>
      <w:r w:rsidR="004B7F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2.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9</w:t>
      </w:r>
      <w:r w:rsidR="005C2360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вересня</w:t>
      </w:r>
      <w:r w:rsidR="005C2360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20</w:t>
      </w:r>
      <w:r w:rsidR="00BA6C0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20</w:t>
      </w:r>
      <w:r w:rsidR="005C2360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року до Вищої ради правосуддя за вхідним</w:t>
      </w:r>
      <w:r w:rsidR="005C2360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№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Б</w:t>
      </w:r>
      <w:r w:rsidR="00BA6C0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-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4995</w:t>
      </w:r>
      <w:r w:rsidR="00BA6C0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/0/7-20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надійшла скарга </w:t>
      </w:r>
      <w:proofErr w:type="spellStart"/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Білякович</w:t>
      </w:r>
      <w:proofErr w:type="spellEnd"/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І.М.</w:t>
      </w:r>
      <w:r w:rsidR="005C2360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 дії судді </w:t>
      </w:r>
      <w:r w:rsidR="004B224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Чернігівського окружного адміністративного суду Житняк Л.О.</w:t>
      </w:r>
      <w:r w:rsidR="00D57568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під час розгляду справи</w:t>
      </w:r>
      <w:r w:rsidR="005C2360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48087E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</w:t>
      </w:r>
      <w:r w:rsidR="00DD20F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№ </w:t>
      </w:r>
      <w:r w:rsidR="0048087E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620/2658/20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Грищуком В.К.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складено висновок від </w:t>
      </w:r>
      <w:r w:rsidR="0048087E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17 вересня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20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20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року про відсутність підстав для відкриття дисциплінарної справи, оскільки</w:t>
      </w:r>
      <w:r w:rsidR="009A5FF1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суть скарги зводиться </w:t>
      </w:r>
      <w:r w:rsidR="00F07CCB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лише 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до незгоди із судовим рішенням </w:t>
      </w:r>
      <w:r w:rsidR="00DD20F8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   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(пункт </w:t>
      </w:r>
      <w:r w:rsidR="00F07CCB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4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Cs/>
          <w:spacing w:val="-4"/>
          <w:sz w:val="27"/>
          <w:szCs w:val="27"/>
          <w:lang w:eastAsia="ru-RU"/>
        </w:rPr>
        <w:lastRenderedPageBreak/>
        <w:t xml:space="preserve">3. </w:t>
      </w:r>
      <w:r w:rsidR="0048087E" w:rsidRPr="00E12C37">
        <w:rPr>
          <w:rFonts w:ascii="Times New Roman" w:eastAsia="Calibri" w:hAnsi="Times New Roman" w:cs="Times New Roman"/>
          <w:bCs/>
          <w:spacing w:val="-4"/>
          <w:sz w:val="27"/>
          <w:szCs w:val="27"/>
          <w:lang w:eastAsia="ru-RU"/>
        </w:rPr>
        <w:t>13 липня</w:t>
      </w:r>
      <w:r w:rsidR="008B5BDC" w:rsidRPr="00E12C37">
        <w:rPr>
          <w:rFonts w:ascii="Times New Roman" w:eastAsia="Calibri" w:hAnsi="Times New Roman" w:cs="Times New Roman"/>
          <w:bCs/>
          <w:spacing w:val="-4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bCs/>
          <w:spacing w:val="-4"/>
          <w:sz w:val="27"/>
          <w:szCs w:val="27"/>
          <w:lang w:eastAsia="ru-RU"/>
        </w:rPr>
        <w:t>20</w:t>
      </w:r>
      <w:r w:rsidR="009A5FF1" w:rsidRPr="00E12C37">
        <w:rPr>
          <w:rFonts w:ascii="Times New Roman" w:eastAsia="Calibri" w:hAnsi="Times New Roman" w:cs="Times New Roman"/>
          <w:bCs/>
          <w:spacing w:val="-4"/>
          <w:sz w:val="27"/>
          <w:szCs w:val="27"/>
          <w:lang w:eastAsia="ru-RU"/>
        </w:rPr>
        <w:t>20</w:t>
      </w:r>
      <w:r w:rsidRPr="00E12C37">
        <w:rPr>
          <w:rFonts w:ascii="Times New Roman" w:eastAsia="Calibri" w:hAnsi="Times New Roman" w:cs="Times New Roman"/>
          <w:bCs/>
          <w:spacing w:val="-4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року до Вищої ради правосуддя за вхідним</w:t>
      </w:r>
      <w:r w:rsidR="0001721C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br/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№ 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106/1/13-20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надійшл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а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скарг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а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Товариства з обмеженою відповідальністю      </w:t>
      </w:r>
      <w:r w:rsidR="00DD20F8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      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«ФК Єврокредит»</w:t>
      </w:r>
      <w:r w:rsidR="009622EF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,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="009622EF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подана через</w:t>
      </w:r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адвоката </w:t>
      </w:r>
      <w:proofErr w:type="spellStart"/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Варес</w:t>
      </w:r>
      <w:proofErr w:type="spellEnd"/>
      <w:r w:rsidR="0048087E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М.О.</w:t>
      </w:r>
      <w:r w:rsidR="005C2360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на дії судді</w:t>
      </w:r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в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Касаційного господарського суду у складі Верховного Суду Білоуса В.В., </w:t>
      </w:r>
      <w:proofErr w:type="spellStart"/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Огородніка</w:t>
      </w:r>
      <w:proofErr w:type="spellEnd"/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К.М., Погребняка В.Я.</w:t>
      </w:r>
      <w:r w:rsidR="005C2360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під час розгляду справи</w:t>
      </w:r>
      <w:r w:rsidR="00BF0328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№ </w:t>
      </w:r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43</w:t>
      </w:r>
      <w:r w:rsidR="005C2360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/</w:t>
      </w:r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75-15/7-б</w:t>
      </w: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.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За результатами попередньої перевірки скарг</w:t>
      </w:r>
      <w:r w:rsidR="00E52766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и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доповідачем – членом Другої Дисциплінарної палати Вищої ради правосуддя </w:t>
      </w:r>
      <w:r w:rsidR="0026031F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Грищуком В.К.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складено висновок від </w:t>
      </w:r>
      <w:r w:rsidR="00D278F9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17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D278F9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вересня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20</w:t>
      </w:r>
      <w:r w:rsidR="005C2360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20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року про відсутність підстав для відкриття дисциплінарної справи, оскільки суть скарг</w:t>
      </w:r>
      <w:r w:rsidR="00E52766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и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зводиться </w:t>
      </w:r>
      <w:r w:rsidR="00F07CCB"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лише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до незгоди із судовим рішенням </w:t>
      </w:r>
      <w:r w:rsidR="00E52766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 xml:space="preserve">     </w:t>
      </w:r>
      <w:r w:rsidRPr="00E12C37">
        <w:rPr>
          <w:rFonts w:ascii="Times New Roman" w:eastAsia="Calibri" w:hAnsi="Times New Roman" w:cs="Times New Roman"/>
          <w:spacing w:val="-2"/>
          <w:sz w:val="27"/>
          <w:szCs w:val="27"/>
          <w:lang w:eastAsia="ru-RU"/>
        </w:rPr>
        <w:t>(пункт 4 частини першої статті 45 Закону України «Про Вищу раду правосуддя»).</w:t>
      </w:r>
    </w:p>
    <w:p w:rsidR="00E0270C" w:rsidRPr="00E12C37" w:rsidRDefault="006C2822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Відповідно</w:t>
      </w:r>
      <w:r w:rsidR="00E0270C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до</w:t>
      </w:r>
      <w:r w:rsidR="00E0270C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пункт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у</w:t>
      </w:r>
      <w:r w:rsidR="00E0270C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4 частини першої статті 45 Закону України </w:t>
      </w:r>
      <w:r w:rsidR="00E0270C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E0270C" w:rsidRPr="00E12C37" w:rsidRDefault="00E0270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B3BEC" w:rsidRPr="00E12C37" w:rsidRDefault="007B3BE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0270C" w:rsidRPr="00E12C37" w:rsidRDefault="00E0270C" w:rsidP="00E12C3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ухвалила</w:t>
      </w:r>
      <w:r w:rsidRPr="00E12C37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E0270C" w:rsidRPr="00E12C37" w:rsidRDefault="00E0270C" w:rsidP="00E12C3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</w:p>
    <w:p w:rsidR="001D4506" w:rsidRPr="00E12C37" w:rsidRDefault="00E0270C" w:rsidP="00E12C37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D1D1B"/>
          <w:sz w:val="27"/>
          <w:szCs w:val="27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відмовити у відкритті дисциплінарної справи за скарг</w:t>
      </w:r>
      <w:r w:rsidR="000841A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ою</w:t>
      </w: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D278F9" w:rsidRPr="00E12C37">
        <w:rPr>
          <w:rFonts w:ascii="Times New Roman" w:eastAsia="Calibri" w:hAnsi="Times New Roman" w:cs="Times New Roman"/>
          <w:sz w:val="27"/>
          <w:szCs w:val="27"/>
        </w:rPr>
        <w:t xml:space="preserve">адвоката Романенка Ярослава Михайловича </w:t>
      </w:r>
      <w:r w:rsidR="00B50D8A" w:rsidRPr="00E12C37">
        <w:rPr>
          <w:rFonts w:ascii="Times New Roman" w:eastAsia="Calibri" w:hAnsi="Times New Roman" w:cs="Times New Roman"/>
          <w:sz w:val="27"/>
          <w:szCs w:val="27"/>
        </w:rPr>
        <w:t>стосовно судді</w:t>
      </w:r>
      <w:r w:rsidR="00D278F9" w:rsidRPr="00E12C37">
        <w:rPr>
          <w:rFonts w:ascii="Times New Roman" w:eastAsia="Calibri" w:hAnsi="Times New Roman" w:cs="Times New Roman"/>
          <w:sz w:val="27"/>
          <w:szCs w:val="27"/>
        </w:rPr>
        <w:t>в</w:t>
      </w:r>
      <w:r w:rsidR="00B50D8A" w:rsidRPr="00E12C3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278F9" w:rsidRPr="00E12C37">
        <w:rPr>
          <w:rFonts w:ascii="Times New Roman" w:eastAsia="Calibri" w:hAnsi="Times New Roman" w:cs="Times New Roman"/>
          <w:sz w:val="27"/>
          <w:szCs w:val="27"/>
        </w:rPr>
        <w:t>Шостого апеляційного адміністративного суду</w:t>
      </w:r>
      <w:r w:rsidR="000841A9" w:rsidRPr="00E12C37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="00D278F9" w:rsidRPr="00E12C37">
        <w:rPr>
          <w:rFonts w:ascii="Times New Roman" w:eastAsia="Calibri" w:hAnsi="Times New Roman" w:cs="Times New Roman"/>
          <w:sz w:val="27"/>
          <w:szCs w:val="27"/>
        </w:rPr>
        <w:t>Епель</w:t>
      </w:r>
      <w:proofErr w:type="spellEnd"/>
      <w:r w:rsidR="00D278F9" w:rsidRPr="00E12C37">
        <w:rPr>
          <w:rFonts w:ascii="Times New Roman" w:eastAsia="Calibri" w:hAnsi="Times New Roman" w:cs="Times New Roman"/>
          <w:sz w:val="27"/>
          <w:szCs w:val="27"/>
        </w:rPr>
        <w:t xml:space="preserve"> Оксани Володимирівни, Губської Людмили Вікторівни, Шурка Олега Івановича</w:t>
      </w:r>
      <w:r w:rsidR="001D4506" w:rsidRPr="00E12C37">
        <w:rPr>
          <w:rStyle w:val="a6"/>
          <w:rFonts w:ascii="Times New Roman" w:hAnsi="Times New Roman" w:cs="Times New Roman"/>
          <w:b w:val="0"/>
          <w:color w:val="1D1D1B"/>
          <w:sz w:val="27"/>
          <w:szCs w:val="27"/>
        </w:rPr>
        <w:t>.</w:t>
      </w:r>
    </w:p>
    <w:p w:rsidR="00B50D8A" w:rsidRPr="00E12C37" w:rsidRDefault="001D4506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uk-UA"/>
        </w:rPr>
      </w:pPr>
      <w:r w:rsidRPr="00E12C37">
        <w:rPr>
          <w:rFonts w:ascii="Times New Roman" w:eastAsia="Calibri" w:hAnsi="Times New Roman" w:cs="Times New Roman"/>
          <w:color w:val="000000"/>
          <w:sz w:val="27"/>
          <w:szCs w:val="27"/>
          <w:highlight w:val="white"/>
          <w:lang w:eastAsia="uk-UA"/>
        </w:rPr>
        <w:t xml:space="preserve">Відмовити у відкритті дисциплінарної справи за скаргою </w:t>
      </w:r>
      <w:proofErr w:type="spellStart"/>
      <w:r w:rsidR="00D278F9" w:rsidRPr="00E12C37">
        <w:rPr>
          <w:rFonts w:ascii="Times New Roman" w:eastAsia="Calibri" w:hAnsi="Times New Roman" w:cs="Times New Roman"/>
          <w:sz w:val="27"/>
          <w:szCs w:val="27"/>
        </w:rPr>
        <w:t>Білякович</w:t>
      </w:r>
      <w:proofErr w:type="spellEnd"/>
      <w:r w:rsidR="00D278F9" w:rsidRPr="00E12C37">
        <w:rPr>
          <w:rFonts w:ascii="Times New Roman" w:eastAsia="Calibri" w:hAnsi="Times New Roman" w:cs="Times New Roman"/>
          <w:sz w:val="27"/>
          <w:szCs w:val="27"/>
        </w:rPr>
        <w:t xml:space="preserve"> Ірини Миколаївни</w:t>
      </w:r>
      <w:r w:rsidR="00B50D8A" w:rsidRPr="00E12C37">
        <w:rPr>
          <w:rFonts w:ascii="Times New Roman" w:eastAsia="Calibri" w:hAnsi="Times New Roman" w:cs="Times New Roman"/>
          <w:sz w:val="27"/>
          <w:szCs w:val="27"/>
        </w:rPr>
        <w:t xml:space="preserve"> стосовно судді </w:t>
      </w:r>
      <w:r w:rsidR="00D278F9"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Чернігівського окружного адміністративного суду Житняк Лариси Олександрівни</w:t>
      </w:r>
      <w:r w:rsidR="00B50D8A" w:rsidRPr="00E12C3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1D4506" w:rsidRPr="00E12C37" w:rsidRDefault="001D4506" w:rsidP="00E12C37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7"/>
          <w:szCs w:val="27"/>
        </w:rPr>
      </w:pPr>
      <w:r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Відмовити у відкритті дисциплінарної справи за скарг</w:t>
      </w:r>
      <w:r w:rsidR="00D278F9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ою</w:t>
      </w:r>
      <w:r w:rsidR="00215B74" w:rsidRPr="00E12C3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</w:t>
      </w:r>
      <w:r w:rsidR="00D278F9" w:rsidRPr="00E12C37">
        <w:rPr>
          <w:rFonts w:ascii="Times New Roman" w:eastAsia="Calibri" w:hAnsi="Times New Roman" w:cs="Times New Roman"/>
          <w:sz w:val="27"/>
          <w:szCs w:val="27"/>
        </w:rPr>
        <w:t xml:space="preserve">Товариства з обмеженою відповідальністю «ФК Єврокредит» </w:t>
      </w:r>
      <w:r w:rsidR="00215B74" w:rsidRPr="00E12C37">
        <w:rPr>
          <w:rFonts w:ascii="Times New Roman" w:eastAsia="Calibri" w:hAnsi="Times New Roman" w:cs="Times New Roman"/>
          <w:sz w:val="27"/>
          <w:szCs w:val="27"/>
        </w:rPr>
        <w:t>стосовно судді</w:t>
      </w:r>
      <w:r w:rsidR="00D278F9" w:rsidRPr="00E12C37">
        <w:rPr>
          <w:rFonts w:ascii="Times New Roman" w:eastAsia="Calibri" w:hAnsi="Times New Roman" w:cs="Times New Roman"/>
          <w:sz w:val="27"/>
          <w:szCs w:val="27"/>
        </w:rPr>
        <w:t>в</w:t>
      </w:r>
      <w:r w:rsidR="00215B74" w:rsidRPr="00E12C3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278F9" w:rsidRPr="00E12C37">
        <w:rPr>
          <w:rFonts w:ascii="Times New Roman" w:eastAsia="Calibri" w:hAnsi="Times New Roman" w:cs="Times New Roman"/>
          <w:sz w:val="27"/>
          <w:szCs w:val="27"/>
        </w:rPr>
        <w:t xml:space="preserve">Касаційного господарського суду у складі Верховного Суду Білоуса Володимира Володимировича, </w:t>
      </w:r>
      <w:proofErr w:type="spellStart"/>
      <w:r w:rsidR="00D278F9" w:rsidRPr="00E12C37">
        <w:rPr>
          <w:rFonts w:ascii="Times New Roman" w:eastAsia="Calibri" w:hAnsi="Times New Roman" w:cs="Times New Roman"/>
          <w:sz w:val="27"/>
          <w:szCs w:val="27"/>
        </w:rPr>
        <w:t>Огородніка</w:t>
      </w:r>
      <w:proofErr w:type="spellEnd"/>
      <w:r w:rsidR="00D278F9" w:rsidRPr="00E12C3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12C37" w:rsidRPr="00E12C37">
        <w:rPr>
          <w:rFonts w:ascii="Times New Roman" w:eastAsia="Calibri" w:hAnsi="Times New Roman" w:cs="Times New Roman"/>
          <w:sz w:val="27"/>
          <w:szCs w:val="27"/>
        </w:rPr>
        <w:t xml:space="preserve">Костянтина Михайловича, Погребняка Володимира </w:t>
      </w:r>
      <w:proofErr w:type="spellStart"/>
      <w:r w:rsidR="00E12C37" w:rsidRPr="00E12C37">
        <w:rPr>
          <w:rFonts w:ascii="Times New Roman" w:eastAsia="Calibri" w:hAnsi="Times New Roman" w:cs="Times New Roman"/>
          <w:sz w:val="27"/>
          <w:szCs w:val="27"/>
        </w:rPr>
        <w:t>Яковлевича</w:t>
      </w:r>
      <w:proofErr w:type="spellEnd"/>
      <w:r w:rsidRPr="00E12C37">
        <w:rPr>
          <w:rStyle w:val="a6"/>
          <w:rFonts w:ascii="Times New Roman" w:hAnsi="Times New Roman" w:cs="Times New Roman"/>
          <w:b w:val="0"/>
          <w:color w:val="1D1D1B"/>
          <w:sz w:val="27"/>
          <w:szCs w:val="27"/>
        </w:rPr>
        <w:t>.</w:t>
      </w:r>
    </w:p>
    <w:p w:rsidR="00E0270C" w:rsidRPr="00E12C37" w:rsidRDefault="0001721C" w:rsidP="00E12C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sz w:val="27"/>
          <w:szCs w:val="27"/>
          <w:lang w:eastAsia="ru-RU"/>
        </w:rPr>
        <w:t>Ухвала оскарженню не підлягає.</w:t>
      </w:r>
    </w:p>
    <w:p w:rsidR="00B50D8A" w:rsidRDefault="00B50D8A" w:rsidP="00E12C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DD20F8" w:rsidRPr="00E12C37" w:rsidRDefault="00DD20F8" w:rsidP="00E12C3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0270C" w:rsidRPr="00E12C37" w:rsidRDefault="00E0270C" w:rsidP="00E12C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Головуючий на засіданні</w:t>
      </w:r>
    </w:p>
    <w:p w:rsidR="00E0270C" w:rsidRPr="00E12C37" w:rsidRDefault="00E0270C" w:rsidP="00E12C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Другої Дисциплінарної палати</w:t>
      </w:r>
    </w:p>
    <w:p w:rsidR="00E0270C" w:rsidRPr="00E12C37" w:rsidRDefault="00E0270C" w:rsidP="00E12C37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Вищої ради правосуддя</w:t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="00E87857"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М.П. Худик</w:t>
      </w:r>
    </w:p>
    <w:p w:rsidR="00E0270C" w:rsidRPr="00E12C37" w:rsidRDefault="00E0270C" w:rsidP="00E12C37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0270C" w:rsidRPr="00E12C37" w:rsidRDefault="00E0270C" w:rsidP="00E12C3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Члени Другої Дисциплінарної </w:t>
      </w:r>
    </w:p>
    <w:p w:rsidR="00E0270C" w:rsidRPr="00E12C37" w:rsidRDefault="00E0270C" w:rsidP="00E12C3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палати Вищої ради правосуддя</w:t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="001A37C4"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="001A37C4"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="001A37C4"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="001A37C4"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І.А. Артеменко</w:t>
      </w:r>
    </w:p>
    <w:p w:rsidR="00E0270C" w:rsidRPr="00E12C37" w:rsidRDefault="00E0270C" w:rsidP="00E12C37">
      <w:pPr>
        <w:spacing w:after="0" w:line="276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0270C" w:rsidRPr="00E12C37" w:rsidRDefault="00E0270C" w:rsidP="00E12C3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  <w:t>О.Є. Блажівська</w:t>
      </w:r>
    </w:p>
    <w:p w:rsidR="00E12C37" w:rsidRPr="00E12C37" w:rsidRDefault="00E12C37" w:rsidP="00E12C37">
      <w:pPr>
        <w:spacing w:after="0" w:line="276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6002CD" w:rsidRPr="00696382" w:rsidRDefault="005C0E8E" w:rsidP="00E12C37">
      <w:pPr>
        <w:spacing w:after="0" w:line="276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12C37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О.В. Прудивус</w:t>
      </w:r>
    </w:p>
    <w:sectPr w:rsidR="006002CD" w:rsidRPr="00696382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DD5" w:rsidRDefault="005E7DD5">
      <w:pPr>
        <w:spacing w:after="0" w:line="240" w:lineRule="auto"/>
      </w:pPr>
      <w:r>
        <w:separator/>
      </w:r>
    </w:p>
  </w:endnote>
  <w:endnote w:type="continuationSeparator" w:id="0">
    <w:p w:rsidR="005E7DD5" w:rsidRDefault="005E7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DD5" w:rsidRDefault="005E7DD5">
      <w:pPr>
        <w:spacing w:after="0" w:line="240" w:lineRule="auto"/>
      </w:pPr>
      <w:r>
        <w:separator/>
      </w:r>
    </w:p>
  </w:footnote>
  <w:footnote w:type="continuationSeparator" w:id="0">
    <w:p w:rsidR="005E7DD5" w:rsidRDefault="005E7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D649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015AD2">
      <w:rPr>
        <w:rFonts w:ascii="Times New Roman" w:hAnsi="Times New Roman" w:cs="Times New Roman"/>
        <w:noProof/>
        <w:sz w:val="24"/>
        <w:szCs w:val="24"/>
      </w:rPr>
      <w:t>2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5E7DD5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0C"/>
    <w:rsid w:val="0000151E"/>
    <w:rsid w:val="00015AD2"/>
    <w:rsid w:val="0001721C"/>
    <w:rsid w:val="000253BA"/>
    <w:rsid w:val="00044BFE"/>
    <w:rsid w:val="00054271"/>
    <w:rsid w:val="000706D6"/>
    <w:rsid w:val="000812F7"/>
    <w:rsid w:val="000821D4"/>
    <w:rsid w:val="000841A9"/>
    <w:rsid w:val="00086E48"/>
    <w:rsid w:val="000A35D3"/>
    <w:rsid w:val="000B1C40"/>
    <w:rsid w:val="000B2762"/>
    <w:rsid w:val="000F75BE"/>
    <w:rsid w:val="001211FF"/>
    <w:rsid w:val="00121ECF"/>
    <w:rsid w:val="00134D38"/>
    <w:rsid w:val="00146E36"/>
    <w:rsid w:val="001566B1"/>
    <w:rsid w:val="00194185"/>
    <w:rsid w:val="001A37C4"/>
    <w:rsid w:val="001B70FC"/>
    <w:rsid w:val="001B7364"/>
    <w:rsid w:val="001D4506"/>
    <w:rsid w:val="001E4E6D"/>
    <w:rsid w:val="00215B74"/>
    <w:rsid w:val="00217A08"/>
    <w:rsid w:val="00242D5D"/>
    <w:rsid w:val="002530AC"/>
    <w:rsid w:val="00254901"/>
    <w:rsid w:val="0026031F"/>
    <w:rsid w:val="00277DB3"/>
    <w:rsid w:val="002B3671"/>
    <w:rsid w:val="002B3767"/>
    <w:rsid w:val="002B3A92"/>
    <w:rsid w:val="002D3EC6"/>
    <w:rsid w:val="002E1187"/>
    <w:rsid w:val="003277A0"/>
    <w:rsid w:val="00342821"/>
    <w:rsid w:val="00391D17"/>
    <w:rsid w:val="003D0516"/>
    <w:rsid w:val="003E1E01"/>
    <w:rsid w:val="003F1540"/>
    <w:rsid w:val="00400C4F"/>
    <w:rsid w:val="00423D68"/>
    <w:rsid w:val="0047402D"/>
    <w:rsid w:val="0048087E"/>
    <w:rsid w:val="004B2249"/>
    <w:rsid w:val="004B7F49"/>
    <w:rsid w:val="004D6498"/>
    <w:rsid w:val="004F23CC"/>
    <w:rsid w:val="00525668"/>
    <w:rsid w:val="0055172B"/>
    <w:rsid w:val="005614D7"/>
    <w:rsid w:val="005C0E8E"/>
    <w:rsid w:val="005C2360"/>
    <w:rsid w:val="005D4F76"/>
    <w:rsid w:val="005E5512"/>
    <w:rsid w:val="005E7DD5"/>
    <w:rsid w:val="005F4914"/>
    <w:rsid w:val="005F5BDC"/>
    <w:rsid w:val="006002CD"/>
    <w:rsid w:val="00602AC0"/>
    <w:rsid w:val="00605506"/>
    <w:rsid w:val="0060590D"/>
    <w:rsid w:val="006069C3"/>
    <w:rsid w:val="00625030"/>
    <w:rsid w:val="006529D5"/>
    <w:rsid w:val="006636BE"/>
    <w:rsid w:val="006738D6"/>
    <w:rsid w:val="00674C0B"/>
    <w:rsid w:val="00675BFE"/>
    <w:rsid w:val="00676FAD"/>
    <w:rsid w:val="0069023D"/>
    <w:rsid w:val="00694B84"/>
    <w:rsid w:val="006A23CC"/>
    <w:rsid w:val="006C2822"/>
    <w:rsid w:val="006D4724"/>
    <w:rsid w:val="006F0320"/>
    <w:rsid w:val="007135B0"/>
    <w:rsid w:val="00772770"/>
    <w:rsid w:val="00786AA9"/>
    <w:rsid w:val="00794AE6"/>
    <w:rsid w:val="007B3BEC"/>
    <w:rsid w:val="007C572D"/>
    <w:rsid w:val="007E5426"/>
    <w:rsid w:val="008807F5"/>
    <w:rsid w:val="00896543"/>
    <w:rsid w:val="008B5BDC"/>
    <w:rsid w:val="008C6AF5"/>
    <w:rsid w:val="00913D28"/>
    <w:rsid w:val="009471BF"/>
    <w:rsid w:val="00950415"/>
    <w:rsid w:val="00954AA4"/>
    <w:rsid w:val="009567C3"/>
    <w:rsid w:val="009622EF"/>
    <w:rsid w:val="00971DD7"/>
    <w:rsid w:val="009833AE"/>
    <w:rsid w:val="009A5FF1"/>
    <w:rsid w:val="009C4882"/>
    <w:rsid w:val="009E7892"/>
    <w:rsid w:val="00A03287"/>
    <w:rsid w:val="00A66C1C"/>
    <w:rsid w:val="00A71ECD"/>
    <w:rsid w:val="00A81FC1"/>
    <w:rsid w:val="00A91809"/>
    <w:rsid w:val="00A93D98"/>
    <w:rsid w:val="00AE34FC"/>
    <w:rsid w:val="00AF0407"/>
    <w:rsid w:val="00B02F14"/>
    <w:rsid w:val="00B26544"/>
    <w:rsid w:val="00B3746E"/>
    <w:rsid w:val="00B50D8A"/>
    <w:rsid w:val="00B510CB"/>
    <w:rsid w:val="00B51BFC"/>
    <w:rsid w:val="00B66FFE"/>
    <w:rsid w:val="00BA6C08"/>
    <w:rsid w:val="00BE0E38"/>
    <w:rsid w:val="00BE686E"/>
    <w:rsid w:val="00BF0328"/>
    <w:rsid w:val="00C330FE"/>
    <w:rsid w:val="00C47CB6"/>
    <w:rsid w:val="00C563A7"/>
    <w:rsid w:val="00C733A9"/>
    <w:rsid w:val="00C76E2D"/>
    <w:rsid w:val="00C97CE1"/>
    <w:rsid w:val="00CA3CA6"/>
    <w:rsid w:val="00CA49F2"/>
    <w:rsid w:val="00CA7895"/>
    <w:rsid w:val="00CD2495"/>
    <w:rsid w:val="00CF0E84"/>
    <w:rsid w:val="00D01150"/>
    <w:rsid w:val="00D278F9"/>
    <w:rsid w:val="00D32937"/>
    <w:rsid w:val="00D4293C"/>
    <w:rsid w:val="00D57568"/>
    <w:rsid w:val="00D66210"/>
    <w:rsid w:val="00D80763"/>
    <w:rsid w:val="00D83AF2"/>
    <w:rsid w:val="00DD0CD1"/>
    <w:rsid w:val="00DD20F8"/>
    <w:rsid w:val="00E0270C"/>
    <w:rsid w:val="00E12C37"/>
    <w:rsid w:val="00E16EEF"/>
    <w:rsid w:val="00E43190"/>
    <w:rsid w:val="00E52766"/>
    <w:rsid w:val="00E82888"/>
    <w:rsid w:val="00E87857"/>
    <w:rsid w:val="00EA6152"/>
    <w:rsid w:val="00F07CCB"/>
    <w:rsid w:val="00F20CEE"/>
    <w:rsid w:val="00F212A3"/>
    <w:rsid w:val="00F25FFD"/>
    <w:rsid w:val="00F41AEB"/>
    <w:rsid w:val="00F56472"/>
    <w:rsid w:val="00F802E1"/>
    <w:rsid w:val="00F9464C"/>
    <w:rsid w:val="00FD58AF"/>
    <w:rsid w:val="00F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8322"/>
  <w15:chartTrackingRefBased/>
  <w15:docId w15:val="{5CEA89CB-48E3-4DC7-9547-23731F8A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7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0270C"/>
  </w:style>
  <w:style w:type="paragraph" w:styleId="a5">
    <w:name w:val="Normal (Web)"/>
    <w:basedOn w:val="a"/>
    <w:uiPriority w:val="99"/>
    <w:semiHidden/>
    <w:unhideWhenUsed/>
    <w:rsid w:val="001D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1D450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0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02C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172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2731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Володимир Мина (HCJ-MONO0215 - v.myna)</cp:lastModifiedBy>
  <cp:revision>2</cp:revision>
  <cp:lastPrinted>2020-09-25T09:20:00Z</cp:lastPrinted>
  <dcterms:created xsi:type="dcterms:W3CDTF">2020-09-29T13:40:00Z</dcterms:created>
  <dcterms:modified xsi:type="dcterms:W3CDTF">2020-09-29T13:40:00Z</dcterms:modified>
</cp:coreProperties>
</file>