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AF" w:rsidRDefault="00596BAB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uk-UA"/>
        </w:rPr>
        <w:drawing>
          <wp:anchor distT="0" distB="0" distL="133350" distR="114300" simplePos="0" relativeHeight="2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133350</wp:posOffset>
            </wp:positionV>
            <wp:extent cx="501015" cy="651510"/>
            <wp:effectExtent l="0" t="0" r="0" b="0"/>
            <wp:wrapNone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2FAF" w:rsidRDefault="009E2FAF">
      <w:pPr>
        <w:jc w:val="center"/>
        <w:rPr>
          <w:b/>
          <w:sz w:val="26"/>
          <w:szCs w:val="26"/>
        </w:rPr>
      </w:pPr>
    </w:p>
    <w:p w:rsidR="009E2FAF" w:rsidRDefault="00596BAB">
      <w:pPr>
        <w:spacing w:before="360" w:after="6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УКРАЇНА</w:t>
      </w:r>
    </w:p>
    <w:p w:rsidR="009E2FAF" w:rsidRDefault="00596BAB">
      <w:pPr>
        <w:spacing w:after="6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ВИЩА  РАДА  ПРАВОСУДДЯ</w:t>
      </w:r>
    </w:p>
    <w:tbl>
      <w:tblPr>
        <w:tblpPr w:leftFromText="180" w:rightFromText="180" w:vertAnchor="text" w:horzAnchor="page" w:tblpX="1" w:tblpY="611"/>
        <w:tblW w:w="14854" w:type="dxa"/>
        <w:tblLook w:val="04A0" w:firstRow="1" w:lastRow="0" w:firstColumn="1" w:lastColumn="0" w:noHBand="0" w:noVBand="1"/>
      </w:tblPr>
      <w:tblGrid>
        <w:gridCol w:w="4127"/>
        <w:gridCol w:w="2883"/>
        <w:gridCol w:w="7844"/>
      </w:tblGrid>
      <w:tr w:rsidR="00C41A0F" w:rsidTr="00C41A0F">
        <w:trPr>
          <w:trHeight w:val="188"/>
        </w:trPr>
        <w:tc>
          <w:tcPr>
            <w:tcW w:w="4127" w:type="dxa"/>
            <w:shd w:val="clear" w:color="auto" w:fill="auto"/>
          </w:tcPr>
          <w:p w:rsidR="00C41A0F" w:rsidRDefault="00C41A0F" w:rsidP="00C41A0F">
            <w:pPr>
              <w:spacing w:after="0" w:line="240" w:lineRule="auto"/>
              <w:ind w:right="-2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  <w:r w:rsidR="00A90C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15 жовтня 2020 року</w:t>
            </w:r>
          </w:p>
        </w:tc>
        <w:tc>
          <w:tcPr>
            <w:tcW w:w="2883" w:type="dxa"/>
            <w:shd w:val="clear" w:color="auto" w:fill="auto"/>
          </w:tcPr>
          <w:p w:rsidR="00C41A0F" w:rsidRDefault="00C41A0F" w:rsidP="00C41A0F">
            <w:pPr>
              <w:spacing w:after="0" w:line="240" w:lineRule="auto"/>
              <w:ind w:right="-2" w:hanging="10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Київ</w:t>
            </w:r>
          </w:p>
        </w:tc>
        <w:tc>
          <w:tcPr>
            <w:tcW w:w="7844" w:type="dxa"/>
            <w:shd w:val="clear" w:color="auto" w:fill="auto"/>
          </w:tcPr>
          <w:p w:rsidR="00C41A0F" w:rsidRDefault="00C41A0F" w:rsidP="00A90C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№</w:t>
            </w:r>
            <w:r w:rsidR="00A90C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2839/0/15-20</w:t>
            </w:r>
          </w:p>
        </w:tc>
      </w:tr>
    </w:tbl>
    <w:p w:rsidR="009E2FAF" w:rsidRDefault="00C41A0F" w:rsidP="00C41A0F">
      <w:pPr>
        <w:spacing w:after="240" w:line="240" w:lineRule="auto"/>
        <w:ind w:hanging="284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 xml:space="preserve"> </w:t>
      </w:r>
      <w:r>
        <w:rPr>
          <w:rFonts w:ascii="AcademyC" w:hAnsi="AcademyC"/>
          <w:b/>
          <w:sz w:val="28"/>
          <w:szCs w:val="28"/>
        </w:rPr>
        <w:tab/>
      </w:r>
      <w:r>
        <w:rPr>
          <w:rFonts w:ascii="AcademyC" w:hAnsi="AcademyC"/>
          <w:b/>
          <w:sz w:val="28"/>
          <w:szCs w:val="28"/>
        </w:rPr>
        <w:tab/>
      </w:r>
      <w:r>
        <w:rPr>
          <w:rFonts w:ascii="AcademyC" w:hAnsi="AcademyC"/>
          <w:b/>
          <w:sz w:val="28"/>
          <w:szCs w:val="28"/>
        </w:rPr>
        <w:tab/>
      </w:r>
      <w:r>
        <w:rPr>
          <w:rFonts w:ascii="AcademyC" w:hAnsi="AcademyC"/>
          <w:b/>
          <w:sz w:val="28"/>
          <w:szCs w:val="28"/>
        </w:rPr>
        <w:tab/>
      </w:r>
      <w:r>
        <w:rPr>
          <w:rFonts w:ascii="AcademyC" w:hAnsi="AcademyC"/>
          <w:b/>
          <w:sz w:val="28"/>
          <w:szCs w:val="28"/>
        </w:rPr>
        <w:tab/>
      </w:r>
      <w:r>
        <w:rPr>
          <w:rFonts w:ascii="AcademyC" w:hAnsi="AcademyC"/>
          <w:b/>
          <w:sz w:val="28"/>
          <w:szCs w:val="28"/>
        </w:rPr>
        <w:tab/>
      </w:r>
      <w:r>
        <w:rPr>
          <w:rFonts w:ascii="AcademyC" w:hAnsi="AcademyC"/>
          <w:b/>
          <w:sz w:val="28"/>
          <w:szCs w:val="28"/>
        </w:rPr>
        <w:tab/>
        <w:t xml:space="preserve"> </w:t>
      </w:r>
      <w:r w:rsidR="00596BAB">
        <w:rPr>
          <w:rFonts w:ascii="AcademyC" w:hAnsi="AcademyC"/>
          <w:b/>
          <w:sz w:val="28"/>
          <w:szCs w:val="28"/>
        </w:rPr>
        <w:t>УХВАЛА</w:t>
      </w:r>
    </w:p>
    <w:p w:rsidR="009E2FAF" w:rsidRDefault="00C41A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101600" distL="114300" distR="114300" simplePos="0" relativeHeight="251658240" behindDoc="0" locked="0" layoutInCell="1" allowOverlap="1" wp14:anchorId="0058156A" wp14:editId="4E3A2E97">
                <wp:simplePos x="0" y="0"/>
                <wp:positionH relativeFrom="margin">
                  <wp:posOffset>-71120</wp:posOffset>
                </wp:positionH>
                <wp:positionV relativeFrom="paragraph">
                  <wp:posOffset>236220</wp:posOffset>
                </wp:positionV>
                <wp:extent cx="66675" cy="615950"/>
                <wp:effectExtent l="0" t="0" r="0" b="0"/>
                <wp:wrapSquare wrapText="bothSides"/>
                <wp:docPr id="2" name="Рам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E2FAF" w:rsidRDefault="00C41A0F">
                            <w:pPr>
                              <w:pStyle w:val="a8"/>
                            </w:pPr>
                            <w:r>
                              <w:t xml:space="preserve">                                                          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8156A" id="Рамка1" o:spid="_x0000_s1026" style="position:absolute;left:0;text-align:left;margin-left:-5.6pt;margin-top:18.6pt;width:5.25pt;height:48.5pt;z-index:251658240;visibility:visible;mso-wrap-style:square;mso-width-percent:0;mso-height-percent:0;mso-wrap-distance-left:9pt;mso-wrap-distance-top:0;mso-wrap-distance-right:9pt;mso-wrap-distance-bottom:8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" filled="f" stroked="f">
                <v:textbox inset="0,0,0,0">
                  <w:txbxContent>
                    <w:p w:rsidR="009E2FAF" w:rsidRDefault="00C41A0F">
                      <w:pPr>
                        <w:pStyle w:val="a8"/>
                      </w:pPr>
                      <w:r>
                        <w:t xml:space="preserve">                                                              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C41A0F" w:rsidRDefault="00C41A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5"/>
        <w:tblW w:w="5262" w:type="dxa"/>
        <w:tblLook w:val="04A0" w:firstRow="1" w:lastRow="0" w:firstColumn="1" w:lastColumn="0" w:noHBand="0" w:noVBand="1"/>
      </w:tblPr>
      <w:tblGrid>
        <w:gridCol w:w="5262"/>
      </w:tblGrid>
      <w:tr w:rsidR="00C41A0F" w:rsidTr="00C41A0F">
        <w:trPr>
          <w:trHeight w:val="428"/>
        </w:trPr>
        <w:tc>
          <w:tcPr>
            <w:tcW w:w="5262" w:type="dxa"/>
            <w:shd w:val="clear" w:color="auto" w:fill="auto"/>
          </w:tcPr>
          <w:p w:rsidR="00C41A0F" w:rsidRDefault="00C41A0F" w:rsidP="00C41A0F">
            <w:pPr>
              <w:tabs>
                <w:tab w:val="left" w:pos="0"/>
                <w:tab w:val="left" w:pos="428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 об’єднання дисциплінарних справ стосовно судді Дарницького районного суду міста Києва Колесника О.М.</w:t>
            </w:r>
          </w:p>
          <w:p w:rsidR="00C41A0F" w:rsidRDefault="00C41A0F" w:rsidP="00C41A0F">
            <w:pPr>
              <w:tabs>
                <w:tab w:val="left" w:pos="0"/>
                <w:tab w:val="left" w:pos="428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41A0F" w:rsidRDefault="00C41A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1A0F" w:rsidRDefault="00C41A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1A0F" w:rsidRDefault="00C41A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1A0F" w:rsidRDefault="00C41A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FAF" w:rsidRDefault="00596BAB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Вища рада п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равосуддя, розглянувши питання про об’єднання дисциплінарних справ стосовно судді</w:t>
      </w:r>
      <w:r>
        <w:rPr>
          <w:rFonts w:ascii="Times New Roman" w:hAnsi="Times New Roman"/>
          <w:color w:val="1D1D1B"/>
          <w:sz w:val="28"/>
          <w:szCs w:val="28"/>
        </w:rPr>
        <w:t xml:space="preserve"> Дарницького районного суду міста Києва Колесника Олега Миколайовича</w:t>
      </w:r>
      <w:r>
        <w:rPr>
          <w:rFonts w:ascii="Times New Roman" w:hAnsi="Times New Roman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9E2FAF" w:rsidRDefault="009E2F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2FAF" w:rsidRDefault="00596B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встановила:</w:t>
      </w:r>
    </w:p>
    <w:p w:rsidR="009E2FAF" w:rsidRDefault="009E2F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2FAF" w:rsidRDefault="00596BA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розгляді різних Дисциплінарних палат Вищої ради правосуддя перебувають дисциплінарні справи стосовно судді</w:t>
      </w:r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t xml:space="preserve"> Дарницького районного суду міста Києва Колесника О.М.</w:t>
      </w:r>
    </w:p>
    <w:p w:rsidR="009E2FAF" w:rsidRDefault="00596BAB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Так, на розгля</w:t>
      </w:r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t xml:space="preserve">ді Другої Дисциплінарної палати Вищої ради правосуддя перебуває дисциплінарна справа стосовно судді Колесника О.М., відкрита ухвалою Другої Дисциплінарної палати Вищої ради правосуддя від 21 вересня 2020 року № 2675/2дп/15-20 за скаргою адвоката </w:t>
      </w:r>
      <w:proofErr w:type="spellStart"/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t>Любарця</w:t>
      </w:r>
      <w:proofErr w:type="spellEnd"/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t xml:space="preserve"> А.Ю. (вхідний</w:t>
      </w:r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br/>
        <w:t xml:space="preserve">№ Л-3669/0/7-20), доповідачем у якій є член Другої Дисциплінарної палати Вищої ради правосуддя </w:t>
      </w:r>
      <w:proofErr w:type="spellStart"/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t>Худик</w:t>
      </w:r>
      <w:proofErr w:type="spellEnd"/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t xml:space="preserve"> М.П.</w:t>
      </w:r>
    </w:p>
    <w:p w:rsidR="009E2FAF" w:rsidRDefault="00596BAB">
      <w:pPr>
        <w:spacing w:after="0" w:line="240" w:lineRule="auto"/>
        <w:ind w:firstLine="709"/>
        <w:jc w:val="both"/>
        <w:rPr>
          <w:spacing w:val="-6"/>
        </w:rPr>
      </w:pPr>
      <w:r>
        <w:rPr>
          <w:rFonts w:ascii="Times New Roman" w:eastAsia="Calibri" w:hAnsi="Times New Roman"/>
          <w:spacing w:val="-6"/>
          <w:sz w:val="28"/>
          <w:szCs w:val="28"/>
        </w:rPr>
        <w:t>Водночас на розгляді Третьої Дисциплінарної палати Вищої ради правосуддя перебуває об’єднана ухвалою цієї</w:t>
      </w:r>
      <w:r>
        <w:rPr>
          <w:rFonts w:ascii="Times New Roman" w:eastAsia="Calibri" w:hAnsi="Times New Roman"/>
          <w:color w:val="1D1D1B"/>
          <w:spacing w:val="-6"/>
          <w:sz w:val="28"/>
          <w:szCs w:val="28"/>
          <w:shd w:val="clear" w:color="auto" w:fill="FFFFFF"/>
        </w:rPr>
        <w:t xml:space="preserve"> Дисциплінарної палати від</w:t>
      </w:r>
      <w:r>
        <w:rPr>
          <w:rFonts w:ascii="Times New Roman" w:eastAsia="Calibri" w:hAnsi="Times New Roman"/>
          <w:color w:val="1D1D1B"/>
          <w:spacing w:val="-6"/>
          <w:sz w:val="28"/>
          <w:szCs w:val="28"/>
          <w:shd w:val="clear" w:color="auto" w:fill="FFFFFF"/>
        </w:rPr>
        <w:br/>
        <w:t>29 липня 2020 року № 2306</w:t>
      </w:r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>/3дп/15-20</w:t>
      </w:r>
      <w:r>
        <w:rPr>
          <w:rFonts w:ascii="Times New Roman" w:eastAsia="Calibri" w:hAnsi="Times New Roman"/>
          <w:color w:val="1D1D1B"/>
          <w:spacing w:val="-6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/>
          <w:spacing w:val="-6"/>
          <w:sz w:val="28"/>
          <w:szCs w:val="28"/>
        </w:rPr>
        <w:t xml:space="preserve">дисциплінарна справа стосовно судді Колесника О.М. </w:t>
      </w:r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 xml:space="preserve">за скаргами </w:t>
      </w:r>
      <w:proofErr w:type="spellStart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>Ашуйка</w:t>
      </w:r>
      <w:proofErr w:type="spellEnd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 xml:space="preserve"> О.О. (вхідний № А-1885/8/7-19),</w:t>
      </w:r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br/>
      </w:r>
      <w:proofErr w:type="spellStart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>Калачової</w:t>
      </w:r>
      <w:proofErr w:type="spellEnd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 xml:space="preserve"> Н.В. (вхідний № К-852/0/7-19), </w:t>
      </w:r>
      <w:proofErr w:type="spellStart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>Карпюка</w:t>
      </w:r>
      <w:proofErr w:type="spellEnd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 xml:space="preserve"> А.В. (вхідний № К-4175/0/7-20), доповідачем у якій є </w:t>
      </w:r>
      <w:r>
        <w:rPr>
          <w:rFonts w:ascii="Times New Roman" w:hAnsi="Times New Roman"/>
          <w:spacing w:val="-6"/>
          <w:sz w:val="28"/>
          <w:szCs w:val="28"/>
          <w:lang w:eastAsia="ru-RU"/>
        </w:rPr>
        <w:t xml:space="preserve">член Третьої Дисциплінарної палати Вищої ради правосуддя </w:t>
      </w:r>
      <w:proofErr w:type="spellStart"/>
      <w:r>
        <w:rPr>
          <w:rFonts w:ascii="Times New Roman" w:hAnsi="Times New Roman"/>
          <w:spacing w:val="-6"/>
          <w:sz w:val="28"/>
          <w:szCs w:val="28"/>
          <w:lang w:eastAsia="ru-RU"/>
        </w:rPr>
        <w:t>Швецова</w:t>
      </w:r>
      <w:proofErr w:type="spellEnd"/>
      <w:r>
        <w:rPr>
          <w:rFonts w:ascii="Times New Roman" w:hAnsi="Times New Roman"/>
          <w:spacing w:val="-6"/>
          <w:sz w:val="28"/>
          <w:szCs w:val="28"/>
          <w:lang w:eastAsia="ru-RU"/>
        </w:rPr>
        <w:t xml:space="preserve"> Л.А.</w:t>
      </w:r>
    </w:p>
    <w:p w:rsidR="009E2FAF" w:rsidRDefault="00596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9E2FAF" w:rsidRDefault="00596B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9E2FAF" w:rsidRDefault="00596BAB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На підставі викладеного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правосуддя, </w:t>
      </w:r>
      <w:r>
        <w:rPr>
          <w:rFonts w:ascii="Times New Roman" w:eastAsia="Times New Roman" w:hAnsi="Times New Roman"/>
          <w:sz w:val="28"/>
          <w:szCs w:val="28"/>
        </w:rPr>
        <w:t xml:space="preserve">керуючись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частиною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дванадцятою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статті 49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9E2FAF" w:rsidRDefault="009E2F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2FAF" w:rsidRDefault="00596B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ухвалила:</w:t>
      </w:r>
    </w:p>
    <w:p w:rsidR="009E2FAF" w:rsidRDefault="009E2F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2FAF" w:rsidRDefault="00596BAB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об’єднати дисциплінарну справу стосовно судді </w:t>
      </w:r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t xml:space="preserve">Дарницького районного суду міста </w:t>
      </w:r>
      <w:r>
        <w:rPr>
          <w:rFonts w:ascii="Times New Roman" w:eastAsia="Times New Roman" w:hAnsi="Times New Roman"/>
          <w:sz w:val="28"/>
          <w:szCs w:val="28"/>
        </w:rPr>
        <w:t>Києва</w:t>
      </w:r>
      <w:r>
        <w:rPr>
          <w:rFonts w:ascii="Times New Roman" w:eastAsia="Times New Roman" w:hAnsi="Times New Roman"/>
          <w:color w:val="1D1D1B"/>
          <w:sz w:val="28"/>
          <w:szCs w:val="28"/>
          <w:lang w:eastAsia="ru-RU"/>
        </w:rPr>
        <w:t xml:space="preserve"> Колесника Олега Миколайовича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відкриту за скаргою адвоката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Любарця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А.Ю.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№ </w:t>
      </w:r>
      <w:r>
        <w:rPr>
          <w:rFonts w:ascii="Times New Roman" w:eastAsia="Times New Roman" w:hAnsi="Times New Roman"/>
          <w:color w:val="1D1D1B"/>
          <w:kern w:val="0"/>
          <w:sz w:val="28"/>
          <w:szCs w:val="28"/>
          <w:lang w:val="ru-RU" w:eastAsia="ru-RU"/>
        </w:rPr>
        <w:t>Л-3669/0/7-20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>
        <w:rPr>
          <w:rFonts w:ascii="Times New Roman" w:hAnsi="Times New Roman"/>
          <w:sz w:val="28"/>
          <w:szCs w:val="28"/>
          <w:lang w:eastAsia="ru-RU"/>
        </w:rPr>
        <w:t>з об’єднаною дисциплінарною справою</w:t>
      </w:r>
      <w:r>
        <w:rPr>
          <w:rFonts w:ascii="Times New Roman" w:hAnsi="Times New Roman"/>
          <w:sz w:val="28"/>
          <w:szCs w:val="28"/>
        </w:rPr>
        <w:t xml:space="preserve"> стосовно вказаного судді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, відкритою за </w:t>
      </w:r>
      <w:r>
        <w:rPr>
          <w:rFonts w:ascii="Times New Roman" w:eastAsia="Calibri" w:hAnsi="Times New Roman"/>
          <w:sz w:val="28"/>
          <w:szCs w:val="28"/>
        </w:rPr>
        <w:t xml:space="preserve">скаргами </w:t>
      </w:r>
      <w:proofErr w:type="spellStart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>Ашуйка</w:t>
      </w:r>
      <w:proofErr w:type="spellEnd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 xml:space="preserve"> О.О.</w:t>
      </w:r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br/>
        <w:t xml:space="preserve">(вхідний № А-1885/8/7-19), </w:t>
      </w:r>
      <w:proofErr w:type="spellStart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>Калачової</w:t>
      </w:r>
      <w:proofErr w:type="spellEnd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 xml:space="preserve"> Н.В. (вхідний № К-852/0/7-19), </w:t>
      </w:r>
      <w:proofErr w:type="spellStart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>Карпюка</w:t>
      </w:r>
      <w:proofErr w:type="spellEnd"/>
      <w:r>
        <w:rPr>
          <w:rFonts w:ascii="Times New Roman" w:eastAsia="Calibri" w:hAnsi="Times New Roman"/>
          <w:color w:val="1D1D1B"/>
          <w:spacing w:val="-6"/>
          <w:sz w:val="28"/>
          <w:szCs w:val="28"/>
        </w:rPr>
        <w:t xml:space="preserve"> А.В. (вхідний № К-4175/0/7-20),</w:t>
      </w:r>
      <w:r>
        <w:rPr>
          <w:rFonts w:ascii="Times New Roman" w:eastAsia="Calibri" w:hAnsi="Times New Roman"/>
          <w:color w:val="1D1D1B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ru-RU"/>
        </w:rPr>
        <w:t>в одну дисциплінарну справу і передати її на розгляд Третьої Дисциплінарної палати Вищої ради правосуддя.</w:t>
      </w:r>
    </w:p>
    <w:p w:rsidR="009E2FAF" w:rsidRDefault="00596BAB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Проведення підготовки до розгляду об’єднаної дисциплінарної справи доручити члену Третьої Дисциплінарної палати Вищої ради правосуддя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Швецовій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Ларисі Анатоліївні.</w:t>
      </w:r>
    </w:p>
    <w:p w:rsidR="009E2FAF" w:rsidRDefault="009E2F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2FAF" w:rsidRDefault="00596B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9E2FAF" w:rsidRDefault="009E2FAF"/>
    <w:sectPr w:rsidR="009E2FAF">
      <w:pgSz w:w="11906" w:h="16838"/>
      <w:pgMar w:top="850" w:right="850" w:bottom="850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2FAF"/>
    <w:rsid w:val="00596BAB"/>
    <w:rsid w:val="009E2FAF"/>
    <w:rsid w:val="00A90C2A"/>
    <w:rsid w:val="00C41A0F"/>
    <w:rsid w:val="00EB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8CC1"/>
  <w15:docId w15:val="{0000CDCC-CBA6-4670-8B10-EBFB33AC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896"/>
    <w:pPr>
      <w:suppressAutoHyphens/>
      <w:spacing w:after="200" w:line="276" w:lineRule="auto"/>
    </w:pPr>
    <w:rPr>
      <w:rFonts w:cs="Times New Roman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a8">
    <w:name w:val="Вміст рамки"/>
    <w:basedOn w:val="a"/>
    <w:qFormat/>
  </w:style>
  <w:style w:type="paragraph" w:styleId="a9">
    <w:name w:val="Balloon Text"/>
    <w:basedOn w:val="a"/>
    <w:link w:val="aa"/>
    <w:uiPriority w:val="99"/>
    <w:semiHidden/>
    <w:unhideWhenUsed/>
    <w:rsid w:val="00EB3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B3168"/>
    <w:rPr>
      <w:rFonts w:ascii="Segoe U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60267-CA22-4D36-8CA0-25A3691D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1973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dc:description/>
  <cp:lastModifiedBy>Олександр Кротенко (VRU-USMONODELL0 - o.krotenko)</cp:lastModifiedBy>
  <cp:revision>13</cp:revision>
  <cp:lastPrinted>2020-10-15T04:58:00Z</cp:lastPrinted>
  <dcterms:created xsi:type="dcterms:W3CDTF">2020-05-20T04:55:00Z</dcterms:created>
  <dcterms:modified xsi:type="dcterms:W3CDTF">2020-10-16T08:56:00Z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