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30EC8" w:rsidRDefault="00EA63B9">
      <w:pPr>
        <w:jc w:val="center"/>
        <w:rPr>
          <w:rFonts w:ascii="AcademyC" w:hAnsi="AcademyC" w:cs="AcademyC"/>
          <w:b/>
        </w:rPr>
      </w:pPr>
      <w:r>
        <w:rPr>
          <w:rFonts w:eastAsia="Times New Roman"/>
          <w:b/>
          <w:noProof/>
          <w:sz w:val="28"/>
          <w:szCs w:val="28"/>
          <w:lang w:val="ru-RU" w:eastAsia="ru-RU"/>
        </w:rPr>
        <w:drawing>
          <wp:inline distT="0" distB="0" distL="0" distR="0">
            <wp:extent cx="438785" cy="5632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107" t="-84" r="-107" b="-84"/>
                    <a:stretch>
                      <a:fillRect/>
                    </a:stretch>
                  </pic:blipFill>
                  <pic:spPr bwMode="auto">
                    <a:xfrm>
                      <a:off x="0" y="0"/>
                      <a:ext cx="438785" cy="563245"/>
                    </a:xfrm>
                    <a:prstGeom prst="rect">
                      <a:avLst/>
                    </a:prstGeom>
                    <a:solidFill>
                      <a:srgbClr val="FFFFFF">
                        <a:alpha val="0"/>
                      </a:srgbClr>
                    </a:solidFill>
                    <a:ln w="9525">
                      <a:noFill/>
                      <a:miter lim="800000"/>
                      <a:headEnd/>
                      <a:tailEnd/>
                    </a:ln>
                  </pic:spPr>
                </pic:pic>
              </a:graphicData>
            </a:graphic>
          </wp:inline>
        </w:drawing>
      </w:r>
    </w:p>
    <w:p w:rsidR="00D30EC8" w:rsidRDefault="00D30EC8">
      <w:pPr>
        <w:jc w:val="center"/>
      </w:pPr>
      <w:r>
        <w:rPr>
          <w:rFonts w:ascii="AcademyC" w:hAnsi="AcademyC" w:cs="AcademyC"/>
          <w:b/>
        </w:rPr>
        <w:t>УКРАЇНА</w:t>
      </w:r>
    </w:p>
    <w:p w:rsidR="00D30EC8" w:rsidRDefault="00D30EC8">
      <w:pPr>
        <w:jc w:val="center"/>
      </w:pPr>
      <w:r>
        <w:rPr>
          <w:rFonts w:ascii="AcademyC" w:hAnsi="AcademyC" w:cs="AcademyC"/>
          <w:b/>
          <w:sz w:val="28"/>
          <w:szCs w:val="28"/>
        </w:rPr>
        <w:t>ВИЩА  РАДА  ПРАВОСУДДЯ</w:t>
      </w:r>
    </w:p>
    <w:p w:rsidR="00D30EC8" w:rsidRDefault="00D30EC8">
      <w:pPr>
        <w:jc w:val="center"/>
      </w:pPr>
      <w:r>
        <w:rPr>
          <w:rFonts w:ascii="AcademyC" w:hAnsi="AcademyC" w:cs="AcademyC"/>
          <w:b/>
          <w:sz w:val="28"/>
          <w:szCs w:val="28"/>
        </w:rPr>
        <w:t>ДРУГА ДИСЦИПЛІНАРНА ПАЛАТА</w:t>
      </w:r>
    </w:p>
    <w:p w:rsidR="00D30EC8" w:rsidRDefault="00D30EC8">
      <w:pPr>
        <w:jc w:val="center"/>
      </w:pPr>
      <w:r>
        <w:rPr>
          <w:rFonts w:ascii="AcademyC" w:hAnsi="AcademyC" w:cs="AcademyC"/>
          <w:b/>
          <w:sz w:val="28"/>
          <w:szCs w:val="28"/>
        </w:rPr>
        <w:t>УХВАЛА</w:t>
      </w:r>
    </w:p>
    <w:p w:rsidR="00D30EC8" w:rsidRDefault="00D30EC8">
      <w:pPr>
        <w:jc w:val="center"/>
        <w:rPr>
          <w:rFonts w:ascii="AcademyC" w:hAnsi="AcademyC" w:cs="AcademyC"/>
          <w:b/>
          <w:sz w:val="16"/>
          <w:szCs w:val="16"/>
        </w:rPr>
      </w:pPr>
    </w:p>
    <w:tbl>
      <w:tblPr>
        <w:tblW w:w="0" w:type="auto"/>
        <w:tblLayout w:type="fixed"/>
        <w:tblLook w:val="0000"/>
      </w:tblPr>
      <w:tblGrid>
        <w:gridCol w:w="3250"/>
        <w:gridCol w:w="3854"/>
        <w:gridCol w:w="3879"/>
      </w:tblGrid>
      <w:tr w:rsidR="00D30EC8">
        <w:tc>
          <w:tcPr>
            <w:tcW w:w="3250" w:type="dxa"/>
            <w:shd w:val="clear" w:color="auto" w:fill="auto"/>
          </w:tcPr>
          <w:p w:rsidR="00D30EC8" w:rsidRDefault="00D30EC8">
            <w:pPr>
              <w:ind w:right="-1"/>
              <w:jc w:val="both"/>
            </w:pPr>
            <w:r>
              <w:rPr>
                <w:spacing w:val="6"/>
                <w:sz w:val="28"/>
                <w:szCs w:val="28"/>
                <w:lang w:val="ru-RU"/>
              </w:rPr>
              <w:t xml:space="preserve">19 жовтня </w:t>
            </w:r>
            <w:r>
              <w:rPr>
                <w:spacing w:val="6"/>
                <w:sz w:val="28"/>
                <w:szCs w:val="28"/>
              </w:rPr>
              <w:t>2020 року</w:t>
            </w:r>
            <w:r>
              <w:rPr>
                <w:spacing w:val="6"/>
                <w:sz w:val="23"/>
                <w:szCs w:val="23"/>
              </w:rPr>
              <w:t xml:space="preserve">    </w:t>
            </w:r>
          </w:p>
        </w:tc>
        <w:tc>
          <w:tcPr>
            <w:tcW w:w="3854" w:type="dxa"/>
            <w:shd w:val="clear" w:color="auto" w:fill="auto"/>
          </w:tcPr>
          <w:p w:rsidR="00D30EC8" w:rsidRDefault="00D30EC8">
            <w:pPr>
              <w:ind w:right="-815"/>
              <w:jc w:val="both"/>
            </w:pPr>
            <w:r>
              <w:rPr>
                <w:rFonts w:ascii="Book Antiqua" w:eastAsia="Book Antiqua" w:hAnsi="Book Antiqua" w:cs="Book Antiqua"/>
                <w:b/>
                <w:spacing w:val="6"/>
                <w:sz w:val="23"/>
                <w:szCs w:val="23"/>
              </w:rPr>
              <w:t xml:space="preserve">               </w:t>
            </w:r>
            <w:r>
              <w:rPr>
                <w:rFonts w:ascii="Book Antiqua" w:hAnsi="Book Antiqua" w:cs="Book Antiqua"/>
                <w:spacing w:val="6"/>
                <w:sz w:val="23"/>
                <w:szCs w:val="23"/>
              </w:rPr>
              <w:t xml:space="preserve">Київ                                    </w:t>
            </w:r>
          </w:p>
        </w:tc>
        <w:tc>
          <w:tcPr>
            <w:tcW w:w="3879" w:type="dxa"/>
            <w:shd w:val="clear" w:color="auto" w:fill="auto"/>
          </w:tcPr>
          <w:p w:rsidR="00D30EC8" w:rsidRDefault="00D30EC8" w:rsidP="008F5699">
            <w:pPr>
              <w:ind w:right="-1" w:hanging="249"/>
              <w:jc w:val="both"/>
            </w:pPr>
            <w:r>
              <w:rPr>
                <w:b/>
                <w:spacing w:val="6"/>
                <w:sz w:val="28"/>
                <w:szCs w:val="28"/>
              </w:rPr>
              <w:t>_№</w:t>
            </w:r>
            <w:r w:rsidR="008F5699">
              <w:rPr>
                <w:spacing w:val="6"/>
                <w:sz w:val="28"/>
                <w:szCs w:val="28"/>
                <w:lang w:val="ru-RU"/>
              </w:rPr>
              <w:t>2857</w:t>
            </w:r>
            <w:r>
              <w:rPr>
                <w:spacing w:val="6"/>
                <w:sz w:val="28"/>
                <w:szCs w:val="28"/>
                <w:lang w:val="en-US"/>
              </w:rPr>
              <w:t>/2</w:t>
            </w:r>
            <w:r>
              <w:rPr>
                <w:spacing w:val="6"/>
                <w:sz w:val="28"/>
                <w:szCs w:val="28"/>
              </w:rPr>
              <w:t>дп/15-20</w:t>
            </w:r>
          </w:p>
        </w:tc>
      </w:tr>
    </w:tbl>
    <w:p w:rsidR="00D30EC8" w:rsidRDefault="00D30EC8">
      <w:pPr>
        <w:tabs>
          <w:tab w:val="left" w:pos="3402"/>
        </w:tabs>
        <w:ind w:right="6236"/>
        <w:jc w:val="both"/>
        <w:rPr>
          <w:b/>
        </w:rPr>
      </w:pPr>
    </w:p>
    <w:p w:rsidR="00D30EC8" w:rsidRDefault="00D30EC8">
      <w:pPr>
        <w:tabs>
          <w:tab w:val="left" w:pos="4307"/>
        </w:tabs>
        <w:ind w:right="6123"/>
        <w:jc w:val="both"/>
      </w:pPr>
      <w:r>
        <w:rPr>
          <w:b/>
          <w:sz w:val="23"/>
          <w:szCs w:val="23"/>
        </w:rPr>
        <w:t xml:space="preserve">Про залишення без розгляду дисциплінарних скарг Тогобецького М.В. стосовно суддів Жовтоводського міського суду Дніпропетровської області Гусейнова К.А., Павловської І.А., Кучми В.В.    </w:t>
      </w:r>
    </w:p>
    <w:p w:rsidR="00D30EC8" w:rsidRDefault="00D30EC8">
      <w:pPr>
        <w:ind w:right="6236"/>
        <w:jc w:val="both"/>
        <w:rPr>
          <w:b/>
          <w:sz w:val="23"/>
          <w:szCs w:val="23"/>
        </w:rPr>
      </w:pPr>
    </w:p>
    <w:p w:rsidR="00D30EC8" w:rsidRDefault="00D30EC8">
      <w:pPr>
        <w:tabs>
          <w:tab w:val="left" w:pos="3915"/>
        </w:tabs>
        <w:ind w:firstLine="709"/>
        <w:jc w:val="both"/>
      </w:pPr>
      <w:r>
        <w:rPr>
          <w:sz w:val="28"/>
          <w:szCs w:val="28"/>
        </w:rPr>
        <w:t>Друга Дисциплінарна палата Вищої ради правосуддя у складі головуючого –</w:t>
      </w:r>
      <w:r w:rsidR="004756BD">
        <w:rPr>
          <w:sz w:val="28"/>
          <w:szCs w:val="28"/>
        </w:rPr>
        <w:t xml:space="preserve"> </w:t>
      </w:r>
      <w:r w:rsidR="004756BD" w:rsidRPr="004756BD">
        <w:rPr>
          <w:sz w:val="28"/>
          <w:szCs w:val="28"/>
        </w:rPr>
        <w:t xml:space="preserve">Прудивуса О.В., </w:t>
      </w:r>
      <w:r w:rsidRPr="004756BD">
        <w:rPr>
          <w:sz w:val="28"/>
          <w:szCs w:val="28"/>
        </w:rPr>
        <w:t xml:space="preserve">членів </w:t>
      </w:r>
      <w:r w:rsidR="00091802" w:rsidRPr="004756BD">
        <w:rPr>
          <w:sz w:val="28"/>
          <w:szCs w:val="28"/>
        </w:rPr>
        <w:t xml:space="preserve">Артеменка І.А., </w:t>
      </w:r>
      <w:r w:rsidR="004756BD" w:rsidRPr="004756BD">
        <w:rPr>
          <w:sz w:val="28"/>
          <w:szCs w:val="28"/>
        </w:rPr>
        <w:t xml:space="preserve">Блажівської О.Є. </w:t>
      </w:r>
      <w:r>
        <w:rPr>
          <w:sz w:val="28"/>
          <w:szCs w:val="28"/>
        </w:rPr>
        <w:t xml:space="preserve">розглянувши висновок доповідача – члена Другої Дисциплінарної палати Вищої ради правосуддя Худика М.П. за результатами попередньої перевірки дисциплінарних скарг Тогобецького Миколи Васильовича стосовно суддів Жовтоводського міського суду Дніпропетровської області Гусейнова Кімала Анатолійовича, Павловської Інни Андріївни, Кучми Віталія Володимировича, </w:t>
      </w:r>
    </w:p>
    <w:p w:rsidR="00D30EC8" w:rsidRDefault="00D30EC8">
      <w:pPr>
        <w:tabs>
          <w:tab w:val="left" w:pos="3828"/>
        </w:tabs>
        <w:ind w:firstLine="709"/>
        <w:jc w:val="both"/>
      </w:pPr>
      <w:r>
        <w:rPr>
          <w:rFonts w:eastAsia="Times New Roman"/>
          <w:sz w:val="28"/>
          <w:szCs w:val="28"/>
        </w:rPr>
        <w:t xml:space="preserve"> </w:t>
      </w:r>
    </w:p>
    <w:p w:rsidR="00D30EC8" w:rsidRDefault="00D30EC8">
      <w:pPr>
        <w:jc w:val="center"/>
      </w:pPr>
      <w:r>
        <w:rPr>
          <w:b/>
          <w:sz w:val="28"/>
          <w:szCs w:val="28"/>
        </w:rPr>
        <w:t>встановила:</w:t>
      </w:r>
    </w:p>
    <w:p w:rsidR="00D30EC8" w:rsidRDefault="00D30EC8">
      <w:pPr>
        <w:jc w:val="center"/>
        <w:rPr>
          <w:sz w:val="28"/>
          <w:szCs w:val="28"/>
        </w:rPr>
      </w:pPr>
    </w:p>
    <w:p w:rsidR="00D30EC8" w:rsidRPr="007F146F" w:rsidRDefault="00D30EC8">
      <w:pPr>
        <w:pStyle w:val="af3"/>
        <w:ind w:right="-1"/>
        <w:jc w:val="both"/>
        <w:rPr>
          <w:szCs w:val="28"/>
        </w:rPr>
      </w:pPr>
      <w:r>
        <w:rPr>
          <w:szCs w:val="28"/>
        </w:rPr>
        <w:t xml:space="preserve">1 квітня 2019 року до Вищої ради правосуддя </w:t>
      </w:r>
      <w:r w:rsidR="00016603">
        <w:rPr>
          <w:szCs w:val="28"/>
        </w:rPr>
        <w:t>за вхідним</w:t>
      </w:r>
      <w:r w:rsidR="007F146F">
        <w:rPr>
          <w:szCs w:val="28"/>
        </w:rPr>
        <w:t>и</w:t>
      </w:r>
      <w:r w:rsidR="00016603">
        <w:rPr>
          <w:szCs w:val="28"/>
        </w:rPr>
        <w:t xml:space="preserve"> №</w:t>
      </w:r>
      <w:r w:rsidR="007F146F">
        <w:rPr>
          <w:szCs w:val="28"/>
        </w:rPr>
        <w:t>№</w:t>
      </w:r>
      <w:r w:rsidR="00016603">
        <w:rPr>
          <w:szCs w:val="28"/>
        </w:rPr>
        <w:t xml:space="preserve"> Т-2113/0/7-19</w:t>
      </w:r>
      <w:r w:rsidR="007F146F">
        <w:rPr>
          <w:szCs w:val="28"/>
        </w:rPr>
        <w:t>, Т-2113/1/7-19, Т-2113/2/7-19</w:t>
      </w:r>
      <w:r>
        <w:rPr>
          <w:szCs w:val="28"/>
        </w:rPr>
        <w:t xml:space="preserve"> </w:t>
      </w:r>
      <w:r w:rsidR="00016603">
        <w:rPr>
          <w:szCs w:val="28"/>
        </w:rPr>
        <w:t>надійшл</w:t>
      </w:r>
      <w:r w:rsidR="007F146F">
        <w:rPr>
          <w:szCs w:val="28"/>
        </w:rPr>
        <w:t>и</w:t>
      </w:r>
      <w:r w:rsidR="00016603">
        <w:rPr>
          <w:szCs w:val="28"/>
        </w:rPr>
        <w:t xml:space="preserve"> </w:t>
      </w:r>
      <w:r>
        <w:rPr>
          <w:szCs w:val="28"/>
        </w:rPr>
        <w:t>дисциплінарн</w:t>
      </w:r>
      <w:r w:rsidR="007F146F">
        <w:rPr>
          <w:szCs w:val="28"/>
        </w:rPr>
        <w:t>і</w:t>
      </w:r>
      <w:r>
        <w:rPr>
          <w:szCs w:val="28"/>
        </w:rPr>
        <w:t xml:space="preserve"> скарг</w:t>
      </w:r>
      <w:r w:rsidR="007F146F">
        <w:rPr>
          <w:szCs w:val="28"/>
        </w:rPr>
        <w:t>и</w:t>
      </w:r>
      <w:r>
        <w:rPr>
          <w:szCs w:val="28"/>
        </w:rPr>
        <w:t xml:space="preserve"> Т</w:t>
      </w:r>
      <w:r w:rsidR="00016603">
        <w:rPr>
          <w:szCs w:val="28"/>
        </w:rPr>
        <w:t>огобецького М.В. стосовно судді</w:t>
      </w:r>
      <w:r>
        <w:rPr>
          <w:szCs w:val="28"/>
        </w:rPr>
        <w:t xml:space="preserve"> Жовтоводського міського суду Дніпропетровської області Гусейнова К.А.,</w:t>
      </w:r>
      <w:r w:rsidR="000E2F79">
        <w:rPr>
          <w:szCs w:val="28"/>
        </w:rPr>
        <w:t xml:space="preserve"> </w:t>
      </w:r>
      <w:r>
        <w:rPr>
          <w:szCs w:val="28"/>
        </w:rPr>
        <w:t>Павловської І.А., Кучми В.В.</w:t>
      </w:r>
    </w:p>
    <w:p w:rsidR="00D30EC8" w:rsidRDefault="00D30EC8">
      <w:pPr>
        <w:pStyle w:val="af3"/>
        <w:ind w:right="-1"/>
        <w:jc w:val="both"/>
      </w:pPr>
      <w:r>
        <w:rPr>
          <w:szCs w:val="28"/>
        </w:rPr>
        <w:tab/>
        <w:t xml:space="preserve">У аналогічних за змістом скаргах Тогобецький М.В. зазначає, що 23 січня 2019 року під час підготовчого судового засідання вказані судді у складі колегії постановили ухвалу про призначення судового розгляду на підставі обвинувального акту, проте на порушення вимог частини другої статті 315 КПК України, залишили невирішеним клопотання </w:t>
      </w:r>
      <w:r w:rsidR="00EA63B9">
        <w:rPr>
          <w:szCs w:val="28"/>
        </w:rPr>
        <w:t xml:space="preserve">ОСОБА1 </w:t>
      </w:r>
      <w:r>
        <w:rPr>
          <w:szCs w:val="28"/>
        </w:rPr>
        <w:t>про виклик свідків сторони захисту, яке було отримане канцелярією Жовтоводського міського суду Дніпропетровської області ще 10 грудня 2018 року.</w:t>
      </w:r>
    </w:p>
    <w:p w:rsidR="00D30EC8" w:rsidRDefault="00D30EC8">
      <w:pPr>
        <w:pStyle w:val="af3"/>
        <w:ind w:right="-1" w:firstLine="708"/>
        <w:jc w:val="both"/>
      </w:pPr>
      <w:r>
        <w:rPr>
          <w:szCs w:val="28"/>
        </w:rPr>
        <w:t>З урахуванням наведеного у скаргах висловлено прохання притягнути суддів Гусейнова К.А., Павловську І.А., Кучму В.В. до дисциплінарної відповідальності.</w:t>
      </w:r>
    </w:p>
    <w:p w:rsidR="00D30EC8" w:rsidRDefault="00D30EC8">
      <w:pPr>
        <w:pStyle w:val="af3"/>
        <w:ind w:right="-1" w:firstLine="708"/>
        <w:jc w:val="both"/>
      </w:pPr>
      <w:r>
        <w:rPr>
          <w:szCs w:val="28"/>
        </w:rPr>
        <w:t>Відповідно до протоколу автоматизованого розподілу справи між членами Вищої ради правосуддя та протоколів передачі справи раніше визначеному члену Вищої ради правосуддя від 1 квітня 2019 року вказані скарги передано члену Вищої ради правосуддя Худику М.П. для проведення попередньої перевірки.</w:t>
      </w:r>
    </w:p>
    <w:p w:rsidR="00D30EC8" w:rsidRDefault="00D30EC8">
      <w:pPr>
        <w:ind w:firstLine="708"/>
        <w:jc w:val="both"/>
      </w:pPr>
      <w:r>
        <w:rPr>
          <w:sz w:val="28"/>
          <w:szCs w:val="28"/>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Pr>
          <w:sz w:val="28"/>
          <w:szCs w:val="28"/>
        </w:rPr>
        <w:br/>
        <w:t>«Про Вищу раду правосуддя» та «Про судоустрій і статус суддів».</w:t>
      </w:r>
    </w:p>
    <w:p w:rsidR="00D30EC8" w:rsidRDefault="00D30EC8">
      <w:pPr>
        <w:ind w:firstLine="708"/>
        <w:jc w:val="both"/>
      </w:pPr>
      <w:r>
        <w:rPr>
          <w:sz w:val="28"/>
          <w:szCs w:val="28"/>
        </w:rPr>
        <w:lastRenderedPageBreak/>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D30EC8" w:rsidRDefault="00D30EC8">
      <w:pPr>
        <w:ind w:firstLine="708"/>
        <w:jc w:val="both"/>
      </w:pPr>
      <w:r>
        <w:rPr>
          <w:sz w:val="28"/>
          <w:szCs w:val="28"/>
        </w:rPr>
        <w:t>Згідно із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Pr>
          <w:sz w:val="28"/>
          <w:szCs w:val="28"/>
        </w:rPr>
        <w:t>, вивчає дисциплінарну скаргу і перевіряє її відповідність вимогам закону та, зокрема, наявність підстав щодо залишення її без розгляду та повернення скаржнику.</w:t>
      </w:r>
    </w:p>
    <w:p w:rsidR="00D30EC8" w:rsidRDefault="00D30EC8">
      <w:pPr>
        <w:ind w:firstLine="708"/>
        <w:jc w:val="both"/>
      </w:pPr>
      <w:r>
        <w:rPr>
          <w:sz w:val="28"/>
          <w:szCs w:val="28"/>
        </w:rPr>
        <w:t>За результатами попередньої перевірки дисциплінарних скарг</w:t>
      </w:r>
      <w:r>
        <w:rPr>
          <w:sz w:val="28"/>
          <w:szCs w:val="28"/>
        </w:rPr>
        <w:br/>
        <w:t>Тогобецького М.В. член Другої Дисциплінарної палати Вищої ради правосуддя Худик М.П. склав висновок із викладенням фактів та обставин, що підтверджують надану у ньому пропозицію.</w:t>
      </w:r>
    </w:p>
    <w:p w:rsidR="00D30EC8" w:rsidRDefault="00D30EC8">
      <w:pPr>
        <w:ind w:firstLine="708"/>
        <w:jc w:val="both"/>
      </w:pPr>
      <w:r>
        <w:rPr>
          <w:sz w:val="28"/>
          <w:szCs w:val="28"/>
        </w:rPr>
        <w:t>Розглянувши висновок доповідача – члена Другої Дисциплінарної палати Вищої ради правосуддя Худика М.П., дисциплінарні скарги Тогобецького М.В., Друга Дисциплінарна палата Вищої ради правосуддя дійшла висновку про наявність підстав для залишення їх без розгляду та повернення скаржнику з огляду на таке.</w:t>
      </w:r>
    </w:p>
    <w:p w:rsidR="00D30EC8" w:rsidRDefault="00D30EC8">
      <w:pPr>
        <w:ind w:firstLine="708"/>
        <w:jc w:val="both"/>
      </w:pPr>
      <w:r>
        <w:rPr>
          <w:sz w:val="28"/>
          <w:szCs w:val="28"/>
        </w:rPr>
        <w:t>За даними Єдиного державного реєстру судових рішень (далі – ЄДРСР) та вебпорталу «Судова влада України» встановлено, що в провадженні колегії суддів Жовтоводського міського суду Дніпропетровської області (головуючий суддя - Павловська І.А., судді зі складу колегії - Гусейнов К.А., Кучма В.В.) перебуває обвину</w:t>
      </w:r>
      <w:r w:rsidR="00EA63B9">
        <w:rPr>
          <w:sz w:val="28"/>
          <w:szCs w:val="28"/>
        </w:rPr>
        <w:t>вальний акт стосовно ОСОБА1, ОСОБА2</w:t>
      </w:r>
      <w:r>
        <w:rPr>
          <w:sz w:val="28"/>
          <w:szCs w:val="28"/>
        </w:rPr>
        <w:t>, обвинувачених у вчиненні кримінального правопорушення, передбаченого частиною третьою статті 307 КК України (справа № 215/4988/13-к).</w:t>
      </w:r>
    </w:p>
    <w:p w:rsidR="00D30EC8" w:rsidRDefault="00D30EC8">
      <w:pPr>
        <w:ind w:firstLine="708"/>
        <w:jc w:val="both"/>
      </w:pPr>
      <w:r>
        <w:rPr>
          <w:sz w:val="28"/>
          <w:szCs w:val="28"/>
        </w:rPr>
        <w:t>Колегією суддів Жовтоводського міського суду Дніпропетровської області за результатами підготовчого судового засідання постановлено ухвалу  від 23 січня 2019 року, якою, в тому числі, призначено судовий розгляд на підставі обвинувального</w:t>
      </w:r>
      <w:r w:rsidR="00EA63B9">
        <w:rPr>
          <w:sz w:val="28"/>
          <w:szCs w:val="28"/>
        </w:rPr>
        <w:t xml:space="preserve"> акта стосовно ОСОБА1, ОСОБА2</w:t>
      </w:r>
      <w:r>
        <w:rPr>
          <w:sz w:val="28"/>
          <w:szCs w:val="28"/>
        </w:rPr>
        <w:t xml:space="preserve">, відмовлено у задоволенні клопотання </w:t>
      </w:r>
      <w:r w:rsidR="00EA63B9">
        <w:rPr>
          <w:sz w:val="28"/>
          <w:szCs w:val="28"/>
        </w:rPr>
        <w:t>обвинуваченого ОСОБА1</w:t>
      </w:r>
      <w:r>
        <w:rPr>
          <w:sz w:val="28"/>
          <w:szCs w:val="28"/>
        </w:rPr>
        <w:t xml:space="preserve"> про повернення обвинувального акта прокурору. </w:t>
      </w:r>
    </w:p>
    <w:p w:rsidR="00D30EC8" w:rsidRDefault="00D30EC8">
      <w:pPr>
        <w:ind w:firstLine="708"/>
        <w:jc w:val="both"/>
      </w:pPr>
      <w:r>
        <w:rPr>
          <w:sz w:val="28"/>
          <w:szCs w:val="28"/>
        </w:rPr>
        <w:t>Розгляд справи триває, наступне судове засідання призначено на</w:t>
      </w:r>
      <w:r>
        <w:rPr>
          <w:sz w:val="28"/>
          <w:szCs w:val="28"/>
        </w:rPr>
        <w:br/>
        <w:t>3 листопада 2020 року.</w:t>
      </w:r>
    </w:p>
    <w:p w:rsidR="00D30EC8" w:rsidRDefault="00D30EC8">
      <w:pPr>
        <w:pStyle w:val="rtejustify"/>
        <w:shd w:val="clear" w:color="auto" w:fill="FFFFFF"/>
        <w:spacing w:before="0" w:after="0"/>
        <w:ind w:firstLine="708"/>
        <w:jc w:val="both"/>
      </w:pPr>
      <w:r>
        <w:rPr>
          <w:rFonts w:eastAsia="Calibri"/>
          <w:sz w:val="28"/>
          <w:szCs w:val="28"/>
          <w:lang w:eastAsia="ru-RU"/>
        </w:rPr>
        <w:t>В</w:t>
      </w:r>
      <w:r>
        <w:rPr>
          <w:sz w:val="28"/>
          <w:szCs w:val="28"/>
        </w:rPr>
        <w:t>ідповідно до частини першої статті 409 КПК України підставою для скасування або зміни судового рішення при розгляді справи в суді апеляційної інстанції є: неповнота судового розгляду; невідповідність висновків суду, викладених у судовому рішенні, фактичним обставинам кримінального провадження; істотне порушення вимог кримінального процесуального закону; неправильне застосування закону України про кримінальну відповідальність.</w:t>
      </w:r>
    </w:p>
    <w:p w:rsidR="00D30EC8" w:rsidRDefault="00D30EC8">
      <w:pPr>
        <w:pStyle w:val="rtejustify"/>
        <w:shd w:val="clear" w:color="auto" w:fill="FFFFFF"/>
        <w:spacing w:before="0" w:after="0"/>
        <w:ind w:firstLine="708"/>
        <w:jc w:val="both"/>
      </w:pPr>
      <w:r>
        <w:rPr>
          <w:sz w:val="28"/>
          <w:szCs w:val="28"/>
        </w:rPr>
        <w:t xml:space="preserve">Неповним визнається судовий розгляд, під час якого залишилися недослідженими обставини, з’ясування яких може мати істотне значення для ухвалення законного, обґрунтованого та справедливого судового рішення, зокрема судом були відхилені клопотання учасників судового провадження про допит певних осіб, дослідження доказів або вчинення інших процесуальних дій для підтвердження чи спростування обставин, з’ясування яких може мати </w:t>
      </w:r>
      <w:r>
        <w:rPr>
          <w:sz w:val="28"/>
          <w:szCs w:val="28"/>
        </w:rPr>
        <w:lastRenderedPageBreak/>
        <w:t xml:space="preserve">істотне значення для ухвалення законного, обґрунтованого та справедливого судового рішення (пункт 1 частини першої статті 410 КПК України). </w:t>
      </w:r>
    </w:p>
    <w:p w:rsidR="00D30EC8" w:rsidRDefault="00D30EC8">
      <w:pPr>
        <w:pStyle w:val="rtejustify"/>
        <w:shd w:val="clear" w:color="auto" w:fill="FFFFFF"/>
        <w:spacing w:before="0" w:after="0"/>
        <w:ind w:firstLine="708"/>
        <w:jc w:val="both"/>
      </w:pPr>
      <w:r>
        <w:rPr>
          <w:sz w:val="28"/>
          <w:szCs w:val="28"/>
        </w:rPr>
        <w:t>Судове рішення вважається таким, що не відповідає фактичним обставинам кримінального провадження, якщо суд не взяв до уваги докази, які могли істотно вплинути на його висновки (пункт 2 частини першої статті 411 КПК України).</w:t>
      </w:r>
    </w:p>
    <w:p w:rsidR="00D30EC8" w:rsidRDefault="00D30EC8">
      <w:pPr>
        <w:pStyle w:val="rtejustify"/>
        <w:shd w:val="clear" w:color="auto" w:fill="FFFFFF"/>
        <w:spacing w:before="0" w:after="0"/>
        <w:ind w:firstLine="708"/>
        <w:jc w:val="both"/>
      </w:pPr>
      <w:r>
        <w:rPr>
          <w:sz w:val="28"/>
          <w:szCs w:val="28"/>
        </w:rPr>
        <w:t>Заперечення проти ухвали про призначення обвинувального акту до розгляду можуть бути включені до апеляційної скарги на рішення суду, прийняте за результатами розгляду обвинувального акта.</w:t>
      </w:r>
    </w:p>
    <w:p w:rsidR="00D30EC8" w:rsidRDefault="00D30EC8">
      <w:pPr>
        <w:pStyle w:val="rtejustify"/>
        <w:shd w:val="clear" w:color="auto" w:fill="FFFFFF"/>
        <w:spacing w:before="0" w:after="0"/>
        <w:ind w:firstLine="708"/>
        <w:jc w:val="both"/>
      </w:pPr>
      <w:r>
        <w:rPr>
          <w:sz w:val="28"/>
          <w:szCs w:val="28"/>
        </w:rPr>
        <w:t>Отже, правильність застосування Жовтоводським міським судом Дніпропетровської області вимог кримінального процесуального закону під час розгляду справи може бути перевірена судом апеляційної інстанції у встановленому процесуальним законом порядку.</w:t>
      </w:r>
    </w:p>
    <w:p w:rsidR="00D30EC8" w:rsidRDefault="00D30EC8">
      <w:pPr>
        <w:pStyle w:val="rtejustify"/>
        <w:shd w:val="clear" w:color="auto" w:fill="FFFFFF"/>
        <w:spacing w:before="0" w:after="0"/>
        <w:ind w:firstLine="708"/>
        <w:jc w:val="both"/>
      </w:pPr>
      <w:r>
        <w:rPr>
          <w:sz w:val="28"/>
          <w:szCs w:val="28"/>
        </w:rPr>
        <w:t>Під час проведення попередньої перевірки з відомостей ЄДРСР також встановлено, що вказаною вище колегією судді Жовтоводського міського суду Дніпропетровської області постановлено ухвалу від 9 квітня 2019 року, якою відмовлено у за</w:t>
      </w:r>
      <w:r w:rsidR="00EA63B9">
        <w:rPr>
          <w:sz w:val="28"/>
          <w:szCs w:val="28"/>
        </w:rPr>
        <w:t>доволенні клопотання ОСОБА1</w:t>
      </w:r>
      <w:r>
        <w:rPr>
          <w:sz w:val="28"/>
          <w:szCs w:val="28"/>
        </w:rPr>
        <w:t xml:space="preserve"> про відвід колегії суддів, які розглядають справу № 215/4988/13-к. З указаної ухвали вбачається, що доводи дисциплінарних скарг Тогобецького М.В. аналогічні за змістом доводам, які зазначені ним на обґрунтування підстав для відводу суддів як такі, що викликають сумніви в неупередженості та об’єктивності розгляду справи.</w:t>
      </w:r>
    </w:p>
    <w:p w:rsidR="00D30EC8" w:rsidRDefault="00D30EC8">
      <w:pPr>
        <w:pStyle w:val="rtejustify"/>
        <w:shd w:val="clear" w:color="auto" w:fill="FFFFFF"/>
        <w:spacing w:before="0" w:after="0"/>
        <w:ind w:firstLine="708"/>
        <w:jc w:val="both"/>
      </w:pPr>
      <w:r>
        <w:rPr>
          <w:sz w:val="28"/>
          <w:szCs w:val="28"/>
        </w:rPr>
        <w:t>В обґрунтування постановленої ухвали колегія судді</w:t>
      </w:r>
      <w:r w:rsidR="00EA63B9">
        <w:rPr>
          <w:sz w:val="28"/>
          <w:szCs w:val="28"/>
        </w:rPr>
        <w:t>в зазначила, що ОСОБА1</w:t>
      </w:r>
      <w:r>
        <w:rPr>
          <w:sz w:val="28"/>
          <w:szCs w:val="28"/>
        </w:rPr>
        <w:t xml:space="preserve"> не зазначив підстав для відводу судді, що передбачені статтями 75, 76 КПК України. Обставини, що наведені у заяві обвинуваченим, не є підставою сприймати рішення і дії суду як упередженість, і можуть бути підставами для оскарження у подальшому судового рішення.</w:t>
      </w:r>
    </w:p>
    <w:p w:rsidR="00D30EC8" w:rsidRDefault="00D30EC8">
      <w:pPr>
        <w:pStyle w:val="rtejustify"/>
        <w:shd w:val="clear" w:color="auto" w:fill="FFFFFF"/>
        <w:spacing w:before="0" w:after="0"/>
        <w:ind w:firstLine="708"/>
        <w:jc w:val="both"/>
      </w:pPr>
      <w:r>
        <w:rPr>
          <w:sz w:val="28"/>
          <w:szCs w:val="28"/>
        </w:rPr>
        <w:t xml:space="preserve">При цьому слід звернути увагу скаржника, що суд апеляційної інстанції вправі скасовувати вирок чи ухвалу суду і призначити новий розгляд у суді першої інстанції, якщо в ухваленні судового рішення брав участь суддя, якому було заявлено відвід на підставі обставин, які очевидно викликали сумнів у неупередженості судді, і заяву про його відвід визнано судом апеляційної інстанції обґрунтованою (пункт 2 частини першої статті 415 КПК України). </w:t>
      </w:r>
    </w:p>
    <w:p w:rsidR="00D30EC8" w:rsidRDefault="00D30EC8">
      <w:pPr>
        <w:pStyle w:val="rtejustify"/>
        <w:shd w:val="clear" w:color="auto" w:fill="FFFFFF"/>
        <w:spacing w:before="0" w:after="0"/>
        <w:ind w:firstLine="708"/>
        <w:jc w:val="both"/>
      </w:pPr>
      <w:r>
        <w:rPr>
          <w:sz w:val="28"/>
          <w:szCs w:val="28"/>
          <w:shd w:val="clear" w:color="auto" w:fill="FFFFFF"/>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 </w:t>
      </w:r>
    </w:p>
    <w:p w:rsidR="00D30EC8" w:rsidRDefault="00D30EC8">
      <w:pPr>
        <w:pStyle w:val="rtejustify"/>
        <w:shd w:val="clear" w:color="auto" w:fill="FFFFFF"/>
        <w:spacing w:before="0" w:after="0"/>
        <w:ind w:firstLine="708"/>
        <w:jc w:val="both"/>
      </w:pPr>
      <w:r>
        <w:rPr>
          <w:sz w:val="28"/>
          <w:szCs w:val="28"/>
        </w:rPr>
        <w:t xml:space="preserve">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w:t>
      </w:r>
      <w:r>
        <w:rPr>
          <w:sz w:val="28"/>
          <w:szCs w:val="28"/>
        </w:rPr>
        <w:lastRenderedPageBreak/>
        <w:t>законності та обґрунтованості судових рішень має відповідний суд згідно з процесуальним законодавством. Рішення суддів не можуть підлягати</w:t>
      </w:r>
      <w:r>
        <w:rPr>
          <w:sz w:val="28"/>
          <w:szCs w:val="28"/>
        </w:rPr>
        <w:br/>
        <w:t>будь-якому перегляду поза межами апеляційних чи касаційних процедур. Дисциплінарна відповідальність суддів не повинна поширюватися на зміст їхніх рішень.</w:t>
      </w:r>
    </w:p>
    <w:p w:rsidR="00D30EC8" w:rsidRDefault="00D30EC8">
      <w:pPr>
        <w:pStyle w:val="rtejustify"/>
        <w:shd w:val="clear" w:color="auto" w:fill="FFFFFF"/>
        <w:spacing w:before="0" w:after="0"/>
        <w:ind w:firstLine="708"/>
        <w:jc w:val="both"/>
      </w:pPr>
      <w:r>
        <w:rPr>
          <w:sz w:val="28"/>
          <w:szCs w:val="28"/>
        </w:rPr>
        <w:t>Як зазначалось вище, розгляд справи не завершено, а отже, передчасно надавати оцінку процесуальним діям суддів, оскільки це може бути розцінено як втручання у здійснення ними правосуддя (рішення Конституційного Суду України від 11 березня 2011 року № 2-рп/2011).</w:t>
      </w:r>
    </w:p>
    <w:p w:rsidR="00D30EC8" w:rsidRDefault="00D30EC8">
      <w:pPr>
        <w:pStyle w:val="rtejustify"/>
        <w:shd w:val="clear" w:color="auto" w:fill="FFFFFF"/>
        <w:spacing w:before="0" w:after="0"/>
        <w:ind w:firstLine="708"/>
        <w:jc w:val="both"/>
      </w:pPr>
      <w:r>
        <w:rPr>
          <w:sz w:val="28"/>
          <w:szCs w:val="28"/>
        </w:rPr>
        <w:t>Згідно із пунктом 6 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p>
    <w:p w:rsidR="00D30EC8" w:rsidRDefault="00D30EC8">
      <w:pPr>
        <w:ind w:firstLine="708"/>
        <w:jc w:val="both"/>
      </w:pPr>
      <w:r>
        <w:rPr>
          <w:sz w:val="28"/>
          <w:szCs w:val="28"/>
        </w:rPr>
        <w:t>З огляду на зазначене дисциплінарні скарги слід залишити без розгляду та повернути скаржнику.</w:t>
      </w:r>
    </w:p>
    <w:p w:rsidR="00D30EC8" w:rsidRDefault="00D30EC8">
      <w:pPr>
        <w:ind w:firstLine="708"/>
        <w:jc w:val="both"/>
      </w:pPr>
      <w:r>
        <w:rPr>
          <w:sz w:val="28"/>
          <w:szCs w:val="28"/>
        </w:rPr>
        <w:t>На підставі викладеного Друга Дисциплінарна палата Вищої ради правосуддя, керуючись  статтями 106–108 Закону України «Про судоустрій і статус суддів», статтями 43, 44 Закону України «Про Вищу раду правосуддя»,</w:t>
      </w:r>
    </w:p>
    <w:p w:rsidR="00D30EC8" w:rsidRDefault="00D30EC8">
      <w:pPr>
        <w:ind w:firstLine="708"/>
        <w:jc w:val="both"/>
        <w:rPr>
          <w:color w:val="1D1D1B"/>
          <w:sz w:val="28"/>
          <w:szCs w:val="28"/>
        </w:rPr>
      </w:pPr>
    </w:p>
    <w:p w:rsidR="00D30EC8" w:rsidRDefault="00D30EC8">
      <w:pPr>
        <w:jc w:val="center"/>
      </w:pPr>
      <w:r>
        <w:rPr>
          <w:b/>
          <w:sz w:val="28"/>
          <w:szCs w:val="28"/>
        </w:rPr>
        <w:t>ухвалила:</w:t>
      </w:r>
    </w:p>
    <w:p w:rsidR="00D30EC8" w:rsidRDefault="00D30EC8">
      <w:pPr>
        <w:jc w:val="both"/>
        <w:rPr>
          <w:b/>
          <w:sz w:val="28"/>
          <w:szCs w:val="28"/>
        </w:rPr>
      </w:pPr>
    </w:p>
    <w:p w:rsidR="00D30EC8" w:rsidRDefault="00D30EC8">
      <w:pPr>
        <w:ind w:right="-1"/>
        <w:jc w:val="both"/>
      </w:pPr>
      <w:r>
        <w:rPr>
          <w:rFonts w:eastAsia="Times New Roman"/>
          <w:sz w:val="28"/>
          <w:szCs w:val="28"/>
        </w:rPr>
        <w:t>дисциплінарні скарги Тогобецького Миколи Васильовича стосовно суддів Жовтоводського міського суду Дніпропетровської області Гусейнова Кімала Анатолійовича, Павловської Інни Андріївни, Кучми Віталія Володимировича залишити без розгляду та повернути скаржнику.</w:t>
      </w:r>
    </w:p>
    <w:tbl>
      <w:tblPr>
        <w:tblW w:w="0" w:type="auto"/>
        <w:tblLayout w:type="fixed"/>
        <w:tblLook w:val="0000"/>
      </w:tblPr>
      <w:tblGrid>
        <w:gridCol w:w="5295"/>
        <w:gridCol w:w="4347"/>
      </w:tblGrid>
      <w:tr w:rsidR="00D30EC8">
        <w:trPr>
          <w:trHeight w:val="2977"/>
        </w:trPr>
        <w:tc>
          <w:tcPr>
            <w:tcW w:w="5295" w:type="dxa"/>
            <w:shd w:val="clear" w:color="auto" w:fill="auto"/>
          </w:tcPr>
          <w:p w:rsidR="00D30EC8" w:rsidRDefault="00D30EC8">
            <w:pPr>
              <w:snapToGrid w:val="0"/>
              <w:spacing w:line="100" w:lineRule="atLeast"/>
              <w:jc w:val="both"/>
              <w:rPr>
                <w:b/>
                <w:sz w:val="28"/>
                <w:szCs w:val="28"/>
              </w:rPr>
            </w:pPr>
          </w:p>
          <w:p w:rsidR="008F5699" w:rsidRPr="004756BD" w:rsidRDefault="008F5699">
            <w:pPr>
              <w:snapToGrid w:val="0"/>
              <w:spacing w:line="100" w:lineRule="atLeast"/>
              <w:jc w:val="both"/>
              <w:rPr>
                <w:b/>
                <w:sz w:val="28"/>
                <w:szCs w:val="28"/>
              </w:rPr>
            </w:pPr>
          </w:p>
          <w:p w:rsidR="00D30EC8" w:rsidRPr="004756BD" w:rsidRDefault="00D30EC8">
            <w:pPr>
              <w:spacing w:line="100" w:lineRule="atLeast"/>
              <w:jc w:val="both"/>
            </w:pPr>
            <w:r w:rsidRPr="004756BD">
              <w:rPr>
                <w:b/>
                <w:sz w:val="28"/>
                <w:szCs w:val="28"/>
              </w:rPr>
              <w:t xml:space="preserve">Головуючий на засіданні </w:t>
            </w:r>
          </w:p>
          <w:p w:rsidR="00D30EC8" w:rsidRPr="004756BD" w:rsidRDefault="00D30EC8">
            <w:pPr>
              <w:spacing w:line="100" w:lineRule="atLeast"/>
              <w:jc w:val="both"/>
            </w:pPr>
            <w:r w:rsidRPr="004756BD">
              <w:rPr>
                <w:b/>
                <w:sz w:val="28"/>
                <w:szCs w:val="28"/>
              </w:rPr>
              <w:t xml:space="preserve">Другої Дисциплінарної </w:t>
            </w:r>
          </w:p>
          <w:p w:rsidR="00D30EC8" w:rsidRPr="004756BD" w:rsidRDefault="00D30EC8">
            <w:pPr>
              <w:jc w:val="both"/>
            </w:pPr>
            <w:r w:rsidRPr="004756BD">
              <w:rPr>
                <w:b/>
                <w:sz w:val="28"/>
                <w:szCs w:val="28"/>
              </w:rPr>
              <w:t>палати Вищої ради правосуддя</w:t>
            </w:r>
          </w:p>
          <w:p w:rsidR="00D30EC8" w:rsidRPr="004756BD" w:rsidRDefault="00D30EC8">
            <w:pPr>
              <w:jc w:val="both"/>
              <w:rPr>
                <w:b/>
                <w:sz w:val="28"/>
                <w:szCs w:val="28"/>
              </w:rPr>
            </w:pPr>
          </w:p>
          <w:p w:rsidR="00D30EC8" w:rsidRPr="004756BD" w:rsidRDefault="00D30EC8">
            <w:pPr>
              <w:spacing w:line="100" w:lineRule="atLeast"/>
              <w:jc w:val="both"/>
            </w:pPr>
            <w:r w:rsidRPr="004756BD">
              <w:rPr>
                <w:b/>
                <w:sz w:val="28"/>
                <w:szCs w:val="28"/>
              </w:rPr>
              <w:t xml:space="preserve">Члени Другої Дисциплінарної </w:t>
            </w:r>
          </w:p>
          <w:p w:rsidR="00D30EC8" w:rsidRPr="004756BD" w:rsidRDefault="00D30EC8">
            <w:pPr>
              <w:jc w:val="both"/>
            </w:pPr>
            <w:r w:rsidRPr="004756BD">
              <w:rPr>
                <w:b/>
                <w:sz w:val="28"/>
                <w:szCs w:val="28"/>
              </w:rPr>
              <w:t>палати Вищої ради правосуддя</w:t>
            </w:r>
          </w:p>
          <w:p w:rsidR="00D30EC8" w:rsidRPr="004756BD" w:rsidRDefault="00D30EC8">
            <w:pPr>
              <w:jc w:val="both"/>
              <w:rPr>
                <w:b/>
                <w:sz w:val="28"/>
                <w:szCs w:val="28"/>
              </w:rPr>
            </w:pPr>
          </w:p>
          <w:p w:rsidR="00D30EC8" w:rsidRPr="004756BD" w:rsidRDefault="00D30EC8">
            <w:pPr>
              <w:jc w:val="both"/>
              <w:rPr>
                <w:b/>
                <w:sz w:val="28"/>
                <w:szCs w:val="28"/>
              </w:rPr>
            </w:pPr>
          </w:p>
          <w:p w:rsidR="00D30EC8" w:rsidRPr="004756BD" w:rsidRDefault="00D30EC8">
            <w:pPr>
              <w:jc w:val="both"/>
              <w:rPr>
                <w:b/>
                <w:sz w:val="28"/>
                <w:szCs w:val="28"/>
              </w:rPr>
            </w:pPr>
          </w:p>
        </w:tc>
        <w:tc>
          <w:tcPr>
            <w:tcW w:w="4347" w:type="dxa"/>
            <w:shd w:val="clear" w:color="auto" w:fill="auto"/>
          </w:tcPr>
          <w:p w:rsidR="00D30EC8" w:rsidRPr="004756BD" w:rsidRDefault="00D30EC8">
            <w:pPr>
              <w:jc w:val="both"/>
            </w:pPr>
            <w:r w:rsidRPr="004756BD">
              <w:rPr>
                <w:rFonts w:eastAsia="Times New Roman"/>
                <w:sz w:val="28"/>
                <w:szCs w:val="28"/>
              </w:rPr>
              <w:t xml:space="preserve">                        </w:t>
            </w:r>
          </w:p>
          <w:p w:rsidR="00D30EC8" w:rsidRPr="004756BD" w:rsidRDefault="00D30EC8">
            <w:pPr>
              <w:jc w:val="both"/>
            </w:pPr>
            <w:r w:rsidRPr="004756BD">
              <w:rPr>
                <w:rFonts w:eastAsia="Times New Roman"/>
                <w:sz w:val="28"/>
                <w:szCs w:val="28"/>
              </w:rPr>
              <w:t xml:space="preserve">                           </w:t>
            </w:r>
          </w:p>
          <w:p w:rsidR="00D30EC8" w:rsidRPr="004756BD" w:rsidRDefault="00D30EC8">
            <w:pPr>
              <w:jc w:val="both"/>
            </w:pPr>
            <w:r w:rsidRPr="004756BD">
              <w:rPr>
                <w:rFonts w:eastAsia="Times New Roman"/>
                <w:sz w:val="28"/>
                <w:szCs w:val="28"/>
              </w:rPr>
              <w:t xml:space="preserve">                  </w:t>
            </w:r>
          </w:p>
          <w:p w:rsidR="00D30EC8" w:rsidRPr="004756BD" w:rsidRDefault="00D30EC8">
            <w:pPr>
              <w:jc w:val="both"/>
            </w:pPr>
            <w:r w:rsidRPr="004756BD">
              <w:rPr>
                <w:rFonts w:eastAsia="Times New Roman"/>
                <w:sz w:val="28"/>
                <w:szCs w:val="28"/>
              </w:rPr>
              <w:t xml:space="preserve">                            </w:t>
            </w:r>
          </w:p>
          <w:p w:rsidR="00D30EC8" w:rsidRPr="004756BD" w:rsidRDefault="004756BD">
            <w:pPr>
              <w:jc w:val="both"/>
              <w:rPr>
                <w:sz w:val="28"/>
                <w:szCs w:val="28"/>
              </w:rPr>
            </w:pPr>
            <w:r w:rsidRPr="004756BD">
              <w:rPr>
                <w:b/>
                <w:sz w:val="28"/>
                <w:szCs w:val="28"/>
              </w:rPr>
              <w:t xml:space="preserve">                           </w:t>
            </w:r>
            <w:r>
              <w:rPr>
                <w:b/>
                <w:sz w:val="28"/>
                <w:szCs w:val="28"/>
              </w:rPr>
              <w:t xml:space="preserve"> </w:t>
            </w:r>
            <w:r w:rsidRPr="004756BD">
              <w:rPr>
                <w:b/>
                <w:sz w:val="28"/>
                <w:szCs w:val="28"/>
              </w:rPr>
              <w:t>О.В. Прудивус</w:t>
            </w:r>
            <w:r w:rsidRPr="004756BD">
              <w:rPr>
                <w:sz w:val="28"/>
                <w:szCs w:val="28"/>
              </w:rPr>
              <w:t xml:space="preserve"> </w:t>
            </w:r>
          </w:p>
          <w:p w:rsidR="00574CC5" w:rsidRDefault="00D30EC8">
            <w:pPr>
              <w:rPr>
                <w:rFonts w:eastAsia="Times New Roman"/>
                <w:b/>
                <w:sz w:val="28"/>
                <w:szCs w:val="28"/>
              </w:rPr>
            </w:pPr>
            <w:r w:rsidRPr="004756BD">
              <w:rPr>
                <w:rFonts w:eastAsia="Times New Roman"/>
                <w:b/>
                <w:sz w:val="28"/>
                <w:szCs w:val="28"/>
              </w:rPr>
              <w:t xml:space="preserve">                            </w:t>
            </w:r>
          </w:p>
          <w:p w:rsidR="008F5699" w:rsidRPr="004756BD" w:rsidRDefault="008F5699">
            <w:pPr>
              <w:rPr>
                <w:rFonts w:eastAsia="Times New Roman"/>
                <w:b/>
                <w:sz w:val="28"/>
                <w:szCs w:val="28"/>
              </w:rPr>
            </w:pPr>
          </w:p>
          <w:p w:rsidR="00574CC5" w:rsidRPr="004756BD" w:rsidRDefault="00574CC5">
            <w:pPr>
              <w:rPr>
                <w:sz w:val="28"/>
                <w:szCs w:val="28"/>
              </w:rPr>
            </w:pPr>
            <w:r w:rsidRPr="004756BD">
              <w:rPr>
                <w:rFonts w:eastAsia="Times New Roman"/>
                <w:b/>
                <w:sz w:val="28"/>
                <w:szCs w:val="28"/>
              </w:rPr>
              <w:t xml:space="preserve">                            І.А. Артеменко </w:t>
            </w:r>
          </w:p>
          <w:p w:rsidR="00574CC5" w:rsidRPr="004756BD" w:rsidRDefault="00574CC5">
            <w:pPr>
              <w:rPr>
                <w:sz w:val="28"/>
                <w:szCs w:val="28"/>
              </w:rPr>
            </w:pPr>
          </w:p>
          <w:p w:rsidR="00574CC5" w:rsidRPr="004756BD" w:rsidRDefault="00574CC5">
            <w:pPr>
              <w:rPr>
                <w:sz w:val="28"/>
                <w:szCs w:val="28"/>
              </w:rPr>
            </w:pPr>
          </w:p>
          <w:p w:rsidR="00D30EC8" w:rsidRPr="004756BD" w:rsidRDefault="00574CC5">
            <w:r w:rsidRPr="004756BD">
              <w:rPr>
                <w:b/>
                <w:sz w:val="28"/>
                <w:szCs w:val="28"/>
              </w:rPr>
              <w:t xml:space="preserve">                          </w:t>
            </w:r>
            <w:r w:rsidR="004756BD" w:rsidRPr="004756BD">
              <w:rPr>
                <w:b/>
                <w:sz w:val="28"/>
                <w:szCs w:val="28"/>
              </w:rPr>
              <w:t xml:space="preserve"> </w:t>
            </w:r>
            <w:r w:rsidR="004756BD">
              <w:rPr>
                <w:b/>
                <w:sz w:val="28"/>
                <w:szCs w:val="28"/>
              </w:rPr>
              <w:t xml:space="preserve"> </w:t>
            </w:r>
            <w:r w:rsidR="00D30EC8" w:rsidRPr="004756BD">
              <w:rPr>
                <w:b/>
                <w:sz w:val="28"/>
                <w:szCs w:val="28"/>
              </w:rPr>
              <w:t>О.Є. Блажівська</w:t>
            </w:r>
          </w:p>
          <w:p w:rsidR="00D30EC8" w:rsidRPr="004756BD" w:rsidRDefault="00D30EC8">
            <w:pPr>
              <w:jc w:val="center"/>
              <w:rPr>
                <w:b/>
                <w:sz w:val="28"/>
                <w:szCs w:val="28"/>
              </w:rPr>
            </w:pPr>
          </w:p>
          <w:p w:rsidR="00D30EC8" w:rsidRPr="004756BD" w:rsidRDefault="00D30EC8">
            <w:pPr>
              <w:jc w:val="center"/>
            </w:pPr>
            <w:r w:rsidRPr="004756BD">
              <w:rPr>
                <w:rFonts w:eastAsia="Times New Roman"/>
                <w:b/>
                <w:sz w:val="28"/>
                <w:szCs w:val="28"/>
              </w:rPr>
              <w:t xml:space="preserve">                         </w:t>
            </w:r>
          </w:p>
          <w:p w:rsidR="00574CC5" w:rsidRPr="004756BD" w:rsidRDefault="00574CC5" w:rsidP="004756BD">
            <w:pPr>
              <w:jc w:val="center"/>
            </w:pPr>
            <w:r w:rsidRPr="004756BD">
              <w:rPr>
                <w:b/>
                <w:sz w:val="28"/>
                <w:szCs w:val="28"/>
              </w:rPr>
              <w:t xml:space="preserve">                    </w:t>
            </w:r>
          </w:p>
        </w:tc>
      </w:tr>
      <w:tr w:rsidR="00D30EC8">
        <w:trPr>
          <w:trHeight w:val="2977"/>
        </w:trPr>
        <w:tc>
          <w:tcPr>
            <w:tcW w:w="5295" w:type="dxa"/>
            <w:shd w:val="clear" w:color="auto" w:fill="auto"/>
          </w:tcPr>
          <w:p w:rsidR="00D30EC8" w:rsidRDefault="00D30EC8">
            <w:pPr>
              <w:snapToGrid w:val="0"/>
              <w:spacing w:line="100" w:lineRule="atLeast"/>
              <w:jc w:val="both"/>
              <w:rPr>
                <w:b/>
                <w:sz w:val="27"/>
                <w:szCs w:val="27"/>
                <w:highlight w:val="yellow"/>
              </w:rPr>
            </w:pPr>
          </w:p>
        </w:tc>
        <w:tc>
          <w:tcPr>
            <w:tcW w:w="4347" w:type="dxa"/>
            <w:shd w:val="clear" w:color="auto" w:fill="auto"/>
          </w:tcPr>
          <w:p w:rsidR="00D30EC8" w:rsidRDefault="00D30EC8">
            <w:pPr>
              <w:snapToGrid w:val="0"/>
              <w:jc w:val="both"/>
              <w:rPr>
                <w:b/>
                <w:sz w:val="27"/>
                <w:szCs w:val="27"/>
                <w:highlight w:val="yellow"/>
              </w:rPr>
            </w:pPr>
          </w:p>
        </w:tc>
      </w:tr>
    </w:tbl>
    <w:p w:rsidR="00D30EC8" w:rsidRDefault="00D30EC8">
      <w:pPr>
        <w:ind w:left="6372"/>
      </w:pPr>
    </w:p>
    <w:sectPr w:rsidR="00D30EC8">
      <w:headerReference w:type="default" r:id="rId7"/>
      <w:headerReference w:type="first" r:id="rId8"/>
      <w:pgSz w:w="11906" w:h="16838"/>
      <w:pgMar w:top="765" w:right="567" w:bottom="568" w:left="1701"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DE0" w:rsidRDefault="006B5DE0">
      <w:r>
        <w:separator/>
      </w:r>
    </w:p>
  </w:endnote>
  <w:endnote w:type="continuationSeparator" w:id="0">
    <w:p w:rsidR="006B5DE0" w:rsidRDefault="006B5D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charset w:val="CC"/>
    <w:family w:val="swiss"/>
    <w:pitch w:val="variable"/>
    <w:sig w:usb0="E0000AFF" w:usb1="500078FF" w:usb2="00000021" w:usb3="00000000" w:csb0="000001BF" w:csb1="00000000"/>
  </w:font>
  <w:font w:name="Noto Sans CJK SC">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altName w:val="Courier New"/>
    <w:panose1 w:val="00000000000000000000"/>
    <w:charset w:val="CC"/>
    <w:family w:val="modern"/>
    <w:notTrueType/>
    <w:pitch w:val="variable"/>
    <w:sig w:usb0="00000001"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DE0" w:rsidRDefault="006B5DE0">
      <w:r>
        <w:separator/>
      </w:r>
    </w:p>
  </w:footnote>
  <w:footnote w:type="continuationSeparator" w:id="0">
    <w:p w:rsidR="006B5DE0" w:rsidRDefault="006B5D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EC8" w:rsidRDefault="00D30EC8">
    <w:pPr>
      <w:pStyle w:val="af0"/>
      <w:jc w:val="center"/>
    </w:pPr>
    <w:fldSimple w:instr=" PAGE ">
      <w:r w:rsidR="00EA63B9">
        <w:rPr>
          <w:noProof/>
        </w:rPr>
        <w:t>2</w:t>
      </w:r>
    </w:fldSimple>
  </w:p>
  <w:p w:rsidR="00D30EC8" w:rsidRDefault="00D30EC8">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EC8" w:rsidRDefault="00D30EC8">
    <w:pPr>
      <w:pStyle w:val="a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1328C0"/>
    <w:rsid w:val="00016603"/>
    <w:rsid w:val="00091802"/>
    <w:rsid w:val="000E2F79"/>
    <w:rsid w:val="001328C0"/>
    <w:rsid w:val="0018661F"/>
    <w:rsid w:val="004756BD"/>
    <w:rsid w:val="00522420"/>
    <w:rsid w:val="00574CC5"/>
    <w:rsid w:val="00585B3C"/>
    <w:rsid w:val="006068FE"/>
    <w:rsid w:val="006A554B"/>
    <w:rsid w:val="006B5DE0"/>
    <w:rsid w:val="007F146F"/>
    <w:rsid w:val="008631DD"/>
    <w:rsid w:val="008F5699"/>
    <w:rsid w:val="00B91683"/>
    <w:rsid w:val="00D30EC8"/>
    <w:rsid w:val="00D36432"/>
    <w:rsid w:val="00EA63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Calibri"/>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style>
  <w:style w:type="character" w:customStyle="1" w:styleId="1">
    <w:name w:val="Основной шрифт абзаца1"/>
  </w:style>
  <w:style w:type="character" w:customStyle="1" w:styleId="a3">
    <w:name w:val="Основной текст Знак"/>
    <w:rPr>
      <w:lang w:val="uk-UA" w:bidi="ar-SA"/>
    </w:rPr>
  </w:style>
  <w:style w:type="character" w:customStyle="1" w:styleId="FontStyle16">
    <w:name w:val="Font Style16"/>
    <w:rPr>
      <w:rFonts w:ascii="Times New Roman" w:hAnsi="Times New Roman" w:cs="Times New Roman"/>
      <w:sz w:val="28"/>
      <w:szCs w:val="28"/>
    </w:rPr>
  </w:style>
  <w:style w:type="character" w:customStyle="1" w:styleId="a4">
    <w:name w:val="Основной текст_"/>
    <w:rPr>
      <w:szCs w:val="28"/>
      <w:shd w:val="clear" w:color="auto" w:fill="FFFFFF"/>
      <w:lang w:bidi="ar-SA"/>
    </w:rPr>
  </w:style>
  <w:style w:type="character" w:customStyle="1" w:styleId="FontStyle14">
    <w:name w:val="Font Style14"/>
    <w:rPr>
      <w:rFonts w:ascii="Times New Roman" w:hAnsi="Times New Roman" w:cs="Times New Roman" w:hint="default"/>
      <w:sz w:val="26"/>
      <w:szCs w:val="26"/>
    </w:rPr>
  </w:style>
  <w:style w:type="character" w:customStyle="1" w:styleId="FontStyle12">
    <w:name w:val="Font Style12"/>
    <w:rPr>
      <w:rFonts w:ascii="Times New Roman" w:hAnsi="Times New Roman" w:cs="Times New Roman" w:hint="default"/>
      <w:b/>
      <w:bCs/>
      <w:sz w:val="28"/>
      <w:szCs w:val="28"/>
    </w:rPr>
  </w:style>
  <w:style w:type="character" w:customStyle="1" w:styleId="20">
    <w:name w:val="Основной текст (2)_"/>
    <w:rPr>
      <w:b/>
      <w:bCs/>
      <w:sz w:val="26"/>
      <w:szCs w:val="26"/>
      <w:shd w:val="clear" w:color="auto" w:fill="FFFFFF"/>
      <w:lang w:bidi="ar-SA"/>
    </w:rPr>
  </w:style>
  <w:style w:type="character" w:styleId="a5">
    <w:name w:val="Hyperlink"/>
    <w:rPr>
      <w:color w:val="0000FF"/>
      <w:u w:val="single"/>
    </w:rPr>
  </w:style>
  <w:style w:type="character" w:customStyle="1" w:styleId="a6">
    <w:name w:val="Основной текст с отступом Знак"/>
    <w:rPr>
      <w:rFonts w:eastAsia="Calibri"/>
      <w:sz w:val="24"/>
      <w:szCs w:val="24"/>
      <w:lang w:val="uk-UA"/>
    </w:rPr>
  </w:style>
  <w:style w:type="character" w:customStyle="1" w:styleId="FontStyle25">
    <w:name w:val="Font Style25"/>
    <w:rPr>
      <w:rFonts w:ascii="Times New Roman" w:hAnsi="Times New Roman" w:cs="Times New Roman" w:hint="default"/>
      <w:sz w:val="24"/>
      <w:szCs w:val="24"/>
    </w:rPr>
  </w:style>
  <w:style w:type="character" w:customStyle="1" w:styleId="FontStyle31">
    <w:name w:val="Font Style31"/>
    <w:rPr>
      <w:rFonts w:ascii="Times New Roman" w:hAnsi="Times New Roman" w:cs="Times New Roman" w:hint="default"/>
      <w:sz w:val="24"/>
      <w:szCs w:val="24"/>
    </w:rPr>
  </w:style>
  <w:style w:type="character" w:customStyle="1" w:styleId="TimesNewRoman1">
    <w:name w:val="Звичайний + Times New Roman1"/>
    <w:rPr>
      <w:rFonts w:eastAsia="Calibri"/>
      <w:bCs/>
      <w:sz w:val="28"/>
      <w:szCs w:val="28"/>
      <w:lang w:val="uk-UA" w:bidi="ar-SA"/>
    </w:rPr>
  </w:style>
  <w:style w:type="character" w:customStyle="1" w:styleId="0">
    <w:name w:val="Після:  0 пт"/>
    <w:rPr>
      <w:rFonts w:ascii="Calibri" w:hAnsi="Calibri" w:cs="Calibri"/>
      <w:bCs/>
      <w:sz w:val="28"/>
      <w:szCs w:val="28"/>
      <w:lang w:val="uk-UA" w:bidi="ar-SA"/>
    </w:rPr>
  </w:style>
  <w:style w:type="character" w:customStyle="1" w:styleId="rvts9">
    <w:name w:val="rvts9"/>
    <w:basedOn w:val="1"/>
  </w:style>
  <w:style w:type="character" w:customStyle="1" w:styleId="a7">
    <w:name w:val="Верхний колонтитул Знак"/>
    <w:rPr>
      <w:rFonts w:eastAsia="Calibri"/>
      <w:sz w:val="24"/>
      <w:szCs w:val="24"/>
    </w:rPr>
  </w:style>
  <w:style w:type="character" w:customStyle="1" w:styleId="a8">
    <w:name w:val="Нижний колонтитул Знак"/>
    <w:rPr>
      <w:rFonts w:eastAsia="Calibri"/>
      <w:sz w:val="24"/>
      <w:szCs w:val="24"/>
    </w:rPr>
  </w:style>
  <w:style w:type="character" w:customStyle="1" w:styleId="apple-converted-space">
    <w:name w:val="apple-converted-space"/>
    <w:basedOn w:val="1"/>
  </w:style>
  <w:style w:type="character" w:customStyle="1" w:styleId="rvts15">
    <w:name w:val="rvts15"/>
    <w:basedOn w:val="1"/>
  </w:style>
  <w:style w:type="character" w:customStyle="1" w:styleId="FontStyle19">
    <w:name w:val="Font Style19"/>
    <w:rPr>
      <w:rFonts w:ascii="Times New Roman" w:hAnsi="Times New Roman" w:cs="Times New Roman"/>
      <w:b/>
      <w:bCs/>
      <w:sz w:val="24"/>
      <w:szCs w:val="24"/>
    </w:rPr>
  </w:style>
  <w:style w:type="character" w:customStyle="1" w:styleId="FontStyle11">
    <w:name w:val="Font Style11"/>
    <w:rPr>
      <w:rFonts w:ascii="Times New Roman" w:hAnsi="Times New Roman" w:cs="Times New Roman"/>
      <w:sz w:val="26"/>
      <w:szCs w:val="26"/>
    </w:rPr>
  </w:style>
  <w:style w:type="character" w:customStyle="1" w:styleId="HTML">
    <w:name w:val="Стандартный HTML Знак"/>
    <w:rPr>
      <w:rFonts w:ascii="Courier New" w:eastAsia="Calibri" w:hAnsi="Courier New" w:cs="Courier New"/>
    </w:rPr>
  </w:style>
  <w:style w:type="character" w:customStyle="1" w:styleId="rvts44">
    <w:name w:val="rvts44"/>
    <w:basedOn w:val="1"/>
  </w:style>
  <w:style w:type="character" w:customStyle="1" w:styleId="StyleZakonu">
    <w:name w:val="StyleZakonu Знак"/>
    <w:rPr>
      <w:lang/>
    </w:rPr>
  </w:style>
  <w:style w:type="character" w:customStyle="1" w:styleId="a9">
    <w:name w:val="Текст выноски Знак"/>
    <w:rPr>
      <w:rFonts w:ascii="Segoe UI" w:eastAsia="Calibri" w:hAnsi="Segoe UI" w:cs="Segoe UI"/>
      <w:sz w:val="18"/>
      <w:szCs w:val="18"/>
    </w:rPr>
  </w:style>
  <w:style w:type="character" w:customStyle="1" w:styleId="21">
    <w:name w:val="Основной текст (2) + Полужирный"/>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shd w:val="clear" w:color="auto" w:fill="FFFFFF"/>
      <w:vertAlign w:val="baseline"/>
      <w:lang w:val="uk-UA" w:bidi="uk-UA"/>
    </w:rPr>
  </w:style>
  <w:style w:type="character" w:customStyle="1" w:styleId="30pt">
    <w:name w:val="Основной текст (3) + Курсив;Интервал 0 pt"/>
    <w:rPr>
      <w:rFonts w:ascii="Times New Roman" w:eastAsia="Times New Roman" w:hAnsi="Times New Roman" w:cs="Times New Roman"/>
      <w:b w:val="0"/>
      <w:bCs w:val="0"/>
      <w:i/>
      <w:iCs/>
      <w:caps w:val="0"/>
      <w:smallCaps w:val="0"/>
      <w:strike w:val="0"/>
      <w:dstrike w:val="0"/>
      <w:color w:val="000000"/>
      <w:spacing w:val="-10"/>
      <w:w w:val="100"/>
      <w:position w:val="0"/>
      <w:sz w:val="24"/>
      <w:szCs w:val="24"/>
      <w:u w:val="none"/>
      <w:vertAlign w:val="baseline"/>
      <w:lang w:val="uk-UA" w:bidi="uk-UA"/>
    </w:rPr>
  </w:style>
  <w:style w:type="character" w:customStyle="1" w:styleId="3">
    <w:name w:val="Основной текст (3) + Малые прописные"/>
    <w:rPr>
      <w:rFonts w:ascii="Times New Roman" w:eastAsia="Times New Roman" w:hAnsi="Times New Roman" w:cs="Times New Roman"/>
      <w:b w:val="0"/>
      <w:bCs w:val="0"/>
      <w:i w:val="0"/>
      <w:iCs w:val="0"/>
      <w:smallCaps/>
      <w:strike w:val="0"/>
      <w:dstrike w:val="0"/>
      <w:color w:val="000000"/>
      <w:spacing w:val="0"/>
      <w:w w:val="100"/>
      <w:position w:val="0"/>
      <w:sz w:val="24"/>
      <w:szCs w:val="24"/>
      <w:u w:val="none"/>
      <w:vertAlign w:val="baseline"/>
      <w:lang w:val="uk-UA" w:bidi="uk-UA"/>
    </w:rPr>
  </w:style>
  <w:style w:type="character" w:customStyle="1" w:styleId="433pt">
    <w:name w:val="Заголовок №4 (3) + Интервал 3 pt"/>
    <w:rPr>
      <w:rFonts w:ascii="Times New Roman" w:eastAsia="Times New Roman" w:hAnsi="Times New Roman" w:cs="Times New Roman"/>
      <w:b w:val="0"/>
      <w:bCs w:val="0"/>
      <w:i w:val="0"/>
      <w:iCs w:val="0"/>
      <w:caps w:val="0"/>
      <w:smallCaps w:val="0"/>
      <w:strike w:val="0"/>
      <w:dstrike w:val="0"/>
      <w:color w:val="000000"/>
      <w:spacing w:val="70"/>
      <w:w w:val="100"/>
      <w:position w:val="0"/>
      <w:sz w:val="24"/>
      <w:szCs w:val="24"/>
      <w:u w:val="none"/>
      <w:vertAlign w:val="baseline"/>
      <w:lang w:val="uk-UA" w:bidi="uk-UA"/>
    </w:rPr>
  </w:style>
  <w:style w:type="character" w:customStyle="1" w:styleId="8">
    <w:name w:val="Основной текст (8) + Не полужирный"/>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uk-UA" w:bidi="uk-UA"/>
    </w:rPr>
  </w:style>
  <w:style w:type="paragraph" w:customStyle="1" w:styleId="22">
    <w:name w:val="Заголовок2"/>
    <w:basedOn w:val="a"/>
    <w:next w:val="aa"/>
    <w:pPr>
      <w:keepNext/>
      <w:spacing w:before="240" w:after="120"/>
    </w:pPr>
    <w:rPr>
      <w:rFonts w:ascii="Liberation Sans" w:eastAsia="Noto Sans CJK SC" w:hAnsi="Liberation Sans" w:cs="Lohit Devanagari"/>
      <w:sz w:val="28"/>
      <w:szCs w:val="28"/>
    </w:rPr>
  </w:style>
  <w:style w:type="paragraph" w:styleId="aa">
    <w:name w:val="Body Text"/>
    <w:basedOn w:val="a"/>
    <w:rPr>
      <w:rFonts w:eastAsia="Times New Roman"/>
      <w:sz w:val="20"/>
      <w:szCs w:val="20"/>
    </w:rPr>
  </w:style>
  <w:style w:type="paragraph" w:styleId="ab">
    <w:name w:val="List"/>
    <w:basedOn w:val="aa"/>
    <w:rPr>
      <w:rFonts w:cs="Lohit Devanagari"/>
    </w:rPr>
  </w:style>
  <w:style w:type="paragraph" w:styleId="ac">
    <w:name w:val="caption"/>
    <w:basedOn w:val="a"/>
    <w:qFormat/>
    <w:pPr>
      <w:suppressLineNumbers/>
      <w:spacing w:before="120" w:after="120"/>
    </w:pPr>
    <w:rPr>
      <w:rFonts w:cs="Lohit Devanagari"/>
      <w:i/>
      <w:iCs/>
    </w:rPr>
  </w:style>
  <w:style w:type="paragraph" w:customStyle="1" w:styleId="ad">
    <w:name w:val="Покажчик"/>
    <w:basedOn w:val="a"/>
    <w:pPr>
      <w:suppressLineNumbers/>
    </w:pPr>
    <w:rPr>
      <w:rFonts w:cs="Lohit Devanagari"/>
    </w:rPr>
  </w:style>
  <w:style w:type="paragraph" w:customStyle="1" w:styleId="10">
    <w:name w:val="Заголовок1"/>
    <w:basedOn w:val="a"/>
    <w:next w:val="aa"/>
    <w:pPr>
      <w:keepNext/>
      <w:spacing w:before="240" w:after="120"/>
    </w:pPr>
    <w:rPr>
      <w:rFonts w:ascii="Liberation Sans" w:eastAsia="Noto Sans CJK SC" w:hAnsi="Liberation Sans" w:cs="Lohit Devanagari"/>
      <w:sz w:val="28"/>
      <w:szCs w:val="28"/>
    </w:rPr>
  </w:style>
  <w:style w:type="paragraph" w:customStyle="1" w:styleId="11">
    <w:name w:val="Название объекта1"/>
    <w:basedOn w:val="a"/>
    <w:pPr>
      <w:suppressLineNumbers/>
      <w:spacing w:before="120" w:after="120"/>
    </w:pPr>
    <w:rPr>
      <w:rFonts w:cs="Lohit Devanagari"/>
      <w:i/>
      <w:iCs/>
    </w:rPr>
  </w:style>
  <w:style w:type="paragraph" w:styleId="ae">
    <w:name w:val="Обычный (Интернет)"/>
    <w:basedOn w:val="a"/>
    <w:pPr>
      <w:spacing w:before="280" w:after="280"/>
    </w:pPr>
    <w:rPr>
      <w:rFonts w:eastAsia="Times New Roman"/>
      <w:lang w:val="ru-RU"/>
    </w:rPr>
  </w:style>
  <w:style w:type="paragraph" w:customStyle="1" w:styleId="Style98">
    <w:name w:val="Style98"/>
    <w:basedOn w:val="a"/>
    <w:pPr>
      <w:widowControl w:val="0"/>
      <w:autoSpaceDE w:val="0"/>
      <w:spacing w:line="320" w:lineRule="exact"/>
      <w:ind w:firstLine="542"/>
      <w:jc w:val="both"/>
    </w:pPr>
    <w:rPr>
      <w:rFonts w:eastAsia="Times New Roman"/>
      <w:sz w:val="28"/>
      <w:szCs w:val="28"/>
    </w:rPr>
  </w:style>
  <w:style w:type="paragraph" w:customStyle="1" w:styleId="12">
    <w:name w:val="Основной текст1"/>
    <w:basedOn w:val="a"/>
    <w:pPr>
      <w:widowControl w:val="0"/>
      <w:shd w:val="clear" w:color="auto" w:fill="FFFFFF"/>
      <w:spacing w:before="1020" w:after="300" w:line="328" w:lineRule="exact"/>
      <w:jc w:val="both"/>
    </w:pPr>
    <w:rPr>
      <w:rFonts w:eastAsia="Times New Roman"/>
      <w:sz w:val="20"/>
      <w:szCs w:val="28"/>
      <w:shd w:val="clear" w:color="auto" w:fill="FFFFFF"/>
      <w:lang/>
    </w:rPr>
  </w:style>
  <w:style w:type="paragraph" w:customStyle="1" w:styleId="14pt">
    <w:name w:val="Звичайний + 14 pt"/>
    <w:basedOn w:val="a"/>
    <w:pPr>
      <w:widowControl w:val="0"/>
      <w:autoSpaceDE w:val="0"/>
      <w:jc w:val="both"/>
    </w:pPr>
    <w:rPr>
      <w:bCs/>
      <w:sz w:val="28"/>
      <w:szCs w:val="28"/>
    </w:rPr>
  </w:style>
  <w:style w:type="paragraph" w:customStyle="1" w:styleId="msonormalcxspmiddle">
    <w:name w:val="msonormalcxspmiddle"/>
    <w:basedOn w:val="a"/>
    <w:pPr>
      <w:spacing w:before="280" w:after="119"/>
    </w:pPr>
  </w:style>
  <w:style w:type="paragraph" w:customStyle="1" w:styleId="23">
    <w:name w:val="Основной текст (2)"/>
    <w:basedOn w:val="a"/>
    <w:pPr>
      <w:widowControl w:val="0"/>
      <w:shd w:val="clear" w:color="auto" w:fill="FFFFFF"/>
      <w:spacing w:after="1020" w:line="240" w:lineRule="atLeast"/>
      <w:jc w:val="center"/>
    </w:pPr>
    <w:rPr>
      <w:rFonts w:eastAsia="Times New Roman"/>
      <w:b/>
      <w:bCs/>
      <w:sz w:val="26"/>
      <w:szCs w:val="26"/>
      <w:shd w:val="clear" w:color="auto" w:fill="FFFFFF"/>
      <w:lang/>
    </w:rPr>
  </w:style>
  <w:style w:type="paragraph" w:customStyle="1" w:styleId="ListParagraph">
    <w:name w:val="List Paragraph"/>
    <w:basedOn w:val="a"/>
    <w:pPr>
      <w:spacing w:line="360" w:lineRule="auto"/>
      <w:ind w:left="720"/>
      <w:contextualSpacing/>
    </w:pPr>
    <w:rPr>
      <w:rFonts w:eastAsia="Times New Roman"/>
      <w:sz w:val="28"/>
      <w:szCs w:val="22"/>
    </w:rPr>
  </w:style>
  <w:style w:type="paragraph" w:styleId="af">
    <w:name w:val="Body Text Indent"/>
    <w:basedOn w:val="a"/>
    <w:pPr>
      <w:spacing w:after="120"/>
      <w:ind w:left="283"/>
    </w:pPr>
  </w:style>
  <w:style w:type="paragraph" w:customStyle="1" w:styleId="13">
    <w:name w:val="Без интервала1"/>
    <w:pPr>
      <w:suppressAutoHyphens/>
    </w:pPr>
    <w:rPr>
      <w:rFonts w:eastAsia="Calibri"/>
      <w:sz w:val="24"/>
      <w:szCs w:val="24"/>
      <w:lang w:eastAsia="zh-CN"/>
    </w:rPr>
  </w:style>
  <w:style w:type="paragraph" w:customStyle="1" w:styleId="14">
    <w:name w:val="Звичайний + За шириною1"/>
    <w:basedOn w:val="a"/>
    <w:pPr>
      <w:tabs>
        <w:tab w:val="left" w:pos="9540"/>
      </w:tabs>
      <w:ind w:firstLine="709"/>
      <w:jc w:val="both"/>
    </w:pPr>
    <w:rPr>
      <w:rFonts w:ascii="Calibri" w:eastAsia="Times New Roman" w:hAnsi="Calibri" w:cs="Calibri"/>
      <w:bCs/>
      <w:sz w:val="28"/>
      <w:szCs w:val="28"/>
    </w:rPr>
  </w:style>
  <w:style w:type="paragraph" w:customStyle="1" w:styleId="15">
    <w:name w:val="Обычный (веб)1"/>
    <w:basedOn w:val="a"/>
    <w:pPr>
      <w:widowControl w:val="0"/>
      <w:spacing w:before="100" w:after="119" w:line="100" w:lineRule="atLeast"/>
    </w:pPr>
    <w:rPr>
      <w:rFonts w:eastAsia="SimSun" w:cs="Lucida Sans"/>
      <w:kern w:val="2"/>
      <w:sz w:val="20"/>
      <w:szCs w:val="20"/>
      <w:lang w:bidi="hi-IN"/>
    </w:rPr>
  </w:style>
  <w:style w:type="paragraph" w:customStyle="1" w:styleId="rvps2">
    <w:name w:val="rvps2"/>
    <w:basedOn w:val="a"/>
    <w:pPr>
      <w:spacing w:before="280" w:after="280"/>
    </w:pPr>
    <w:rPr>
      <w:rFonts w:eastAsia="Times New Roman"/>
      <w:lang w:val="ru-RU"/>
    </w:rPr>
  </w:style>
  <w:style w:type="paragraph" w:styleId="af0">
    <w:name w:val="header"/>
    <w:basedOn w:val="a"/>
    <w:pPr>
      <w:tabs>
        <w:tab w:val="center" w:pos="4819"/>
        <w:tab w:val="right" w:pos="9639"/>
      </w:tabs>
    </w:pPr>
  </w:style>
  <w:style w:type="paragraph" w:styleId="af1">
    <w:name w:val="footer"/>
    <w:basedOn w:val="a"/>
    <w:pPr>
      <w:tabs>
        <w:tab w:val="center" w:pos="4819"/>
        <w:tab w:val="right" w:pos="9639"/>
      </w:tabs>
    </w:pPr>
  </w:style>
  <w:style w:type="paragraph" w:styleId="af2">
    <w:name w:val="List Paragraph"/>
    <w:basedOn w:val="a"/>
    <w:qFormat/>
    <w:pPr>
      <w:spacing w:line="360" w:lineRule="auto"/>
      <w:ind w:left="720"/>
      <w:contextualSpacing/>
    </w:pPr>
    <w:rPr>
      <w:sz w:val="28"/>
      <w:szCs w:val="22"/>
    </w:rPr>
  </w:style>
  <w:style w:type="paragraph" w:styleId="af3">
    <w:name w:val="No Spacing"/>
    <w:qFormat/>
    <w:pPr>
      <w:suppressAutoHyphens/>
    </w:pPr>
    <w:rPr>
      <w:rFonts w:eastAsia="Calibri"/>
      <w:sz w:val="28"/>
      <w:szCs w:val="22"/>
      <w:lang w:val="uk-UA" w:eastAsia="zh-CN"/>
    </w:rPr>
  </w:style>
  <w:style w:type="paragraph" w:styleId="HTML0">
    <w:name w:val="HTML Preformatted"/>
    <w:basedOn w:val="a"/>
    <w:rPr>
      <w:rFonts w:ascii="Courier New" w:hAnsi="Courier New" w:cs="Courier New"/>
      <w:sz w:val="20"/>
      <w:szCs w:val="20"/>
    </w:rPr>
  </w:style>
  <w:style w:type="paragraph" w:customStyle="1" w:styleId="StyleZakonu0">
    <w:name w:val="StyleZakonu"/>
    <w:basedOn w:val="a"/>
    <w:pPr>
      <w:spacing w:after="60" w:line="220" w:lineRule="exact"/>
      <w:ind w:firstLine="284"/>
      <w:jc w:val="both"/>
    </w:pPr>
    <w:rPr>
      <w:rFonts w:eastAsia="Times New Roman"/>
      <w:sz w:val="20"/>
      <w:szCs w:val="20"/>
      <w:lang/>
    </w:rPr>
  </w:style>
  <w:style w:type="paragraph" w:styleId="af4">
    <w:name w:val="Balloon Text"/>
    <w:basedOn w:val="a"/>
    <w:rPr>
      <w:rFonts w:ascii="Segoe UI" w:hAnsi="Segoe UI" w:cs="Segoe UI"/>
      <w:sz w:val="18"/>
      <w:szCs w:val="18"/>
    </w:rPr>
  </w:style>
  <w:style w:type="paragraph" w:customStyle="1" w:styleId="rtejustify">
    <w:name w:val="rtejustify"/>
    <w:basedOn w:val="a"/>
    <w:pPr>
      <w:spacing w:before="280" w:after="280"/>
    </w:pPr>
    <w:rPr>
      <w:rFonts w:eastAsia="Times New Roman"/>
    </w:rPr>
  </w:style>
  <w:style w:type="paragraph" w:customStyle="1" w:styleId="af5">
    <w:name w:val="Вміст таблиці"/>
    <w:basedOn w:val="a"/>
    <w:pPr>
      <w:suppressLineNumbers/>
    </w:pPr>
  </w:style>
  <w:style w:type="paragraph" w:customStyle="1" w:styleId="af6">
    <w:name w:val="Заголовок таблиці"/>
    <w:basedOn w:val="af5"/>
    <w:pPr>
      <w:jc w:val="center"/>
    </w:pPr>
    <w:rPr>
      <w:b/>
      <w:bC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1523</Words>
  <Characters>8683</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10186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Руденко (VRU-XP-OLD08 - t.rudenko)</dc:creator>
  <cp:lastModifiedBy>User</cp:lastModifiedBy>
  <cp:revision>2</cp:revision>
  <cp:lastPrinted>2020-10-20T09:07:00Z</cp:lastPrinted>
  <dcterms:created xsi:type="dcterms:W3CDTF">2020-10-27T09:38:00Z</dcterms:created>
  <dcterms:modified xsi:type="dcterms:W3CDTF">2020-10-27T09:38:00Z</dcterms:modified>
</cp:coreProperties>
</file>