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4CF" w:rsidRPr="0059033B" w:rsidRDefault="000124CF" w:rsidP="000124C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lang w:val="uk-UA"/>
        </w:rPr>
      </w:pP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0124CF" w:rsidRPr="0059033B" w:rsidRDefault="000124CF" w:rsidP="000124C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0124CF" w:rsidRPr="0059033B" w:rsidRDefault="000124CF" w:rsidP="000124C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0124CF" w:rsidRPr="00E12181" w:rsidRDefault="000124CF" w:rsidP="000124CF">
      <w:pPr>
        <w:pStyle w:val="a4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0124CF" w:rsidRPr="0059033B" w:rsidRDefault="00975D46" w:rsidP="000124CF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26</w:t>
      </w:r>
      <w:r w:rsidR="0072627D">
        <w:rPr>
          <w:b/>
          <w:spacing w:val="6"/>
          <w:sz w:val="28"/>
          <w:szCs w:val="28"/>
          <w:lang w:val="uk-UA"/>
        </w:rPr>
        <w:t xml:space="preserve"> жовт</w:t>
      </w:r>
      <w:r w:rsidR="000124CF">
        <w:rPr>
          <w:b/>
          <w:spacing w:val="6"/>
          <w:sz w:val="28"/>
          <w:szCs w:val="28"/>
          <w:lang w:val="uk-UA"/>
        </w:rPr>
        <w:t>ня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0124CF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0124CF" w:rsidRPr="009F52BC">
        <w:rPr>
          <w:rFonts w:ascii="Book Antiqua" w:hAnsi="Book Antiqua"/>
          <w:spacing w:val="6"/>
          <w:lang w:val="uk-UA"/>
        </w:rPr>
        <w:t>Київ</w:t>
      </w:r>
      <w:r w:rsidR="000124CF" w:rsidRPr="009F52BC">
        <w:rPr>
          <w:spacing w:val="6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</w:r>
      <w:r w:rsidR="000124CF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0124CF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0905D8">
        <w:rPr>
          <w:b/>
          <w:spacing w:val="6"/>
          <w:sz w:val="28"/>
          <w:szCs w:val="28"/>
          <w:lang w:val="uk-UA"/>
        </w:rPr>
        <w:t>2937/2дп/15-20</w:t>
      </w:r>
    </w:p>
    <w:p w:rsidR="007D5AED" w:rsidRPr="00E12181" w:rsidRDefault="000124CF" w:rsidP="000124CF">
      <w:pPr>
        <w:tabs>
          <w:tab w:val="left" w:pos="4320"/>
        </w:tabs>
        <w:ind w:right="-1"/>
        <w:jc w:val="both"/>
        <w:rPr>
          <w:b/>
          <w:spacing w:val="6"/>
          <w:sz w:val="16"/>
          <w:szCs w:val="16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2524A9" w:rsidRDefault="002524A9" w:rsidP="00E12181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</w:p>
    <w:p w:rsidR="00AA2A8A" w:rsidRPr="007C7D4F" w:rsidRDefault="000124CF" w:rsidP="006020CE">
      <w:pPr>
        <w:tabs>
          <w:tab w:val="left" w:pos="4111"/>
        </w:tabs>
        <w:ind w:right="5527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BC3F13">
        <w:rPr>
          <w:b/>
          <w:spacing w:val="-2"/>
          <w:lang w:val="uk-UA"/>
        </w:rPr>
        <w:br/>
      </w:r>
      <w:proofErr w:type="spellStart"/>
      <w:r w:rsidR="006020CE" w:rsidRPr="006020CE">
        <w:rPr>
          <w:b/>
          <w:spacing w:val="-2"/>
          <w:lang w:val="uk-UA"/>
        </w:rPr>
        <w:t>Милко</w:t>
      </w:r>
      <w:proofErr w:type="spellEnd"/>
      <w:r w:rsidR="006020CE" w:rsidRPr="006020CE">
        <w:rPr>
          <w:b/>
          <w:spacing w:val="-2"/>
          <w:lang w:val="uk-UA"/>
        </w:rPr>
        <w:t xml:space="preserve"> </w:t>
      </w:r>
      <w:r w:rsidR="006020CE">
        <w:rPr>
          <w:b/>
          <w:spacing w:val="-2"/>
          <w:lang w:val="uk-UA"/>
        </w:rPr>
        <w:t xml:space="preserve">В.О. </w:t>
      </w:r>
      <w:r w:rsidR="006020CE" w:rsidRPr="006020CE">
        <w:rPr>
          <w:b/>
          <w:spacing w:val="-2"/>
          <w:lang w:val="uk-UA"/>
        </w:rPr>
        <w:t xml:space="preserve">стосовно суддів Київського апеляційного суду </w:t>
      </w:r>
      <w:proofErr w:type="spellStart"/>
      <w:r w:rsidR="006020CE" w:rsidRPr="006020CE">
        <w:rPr>
          <w:b/>
          <w:spacing w:val="-2"/>
          <w:lang w:val="uk-UA"/>
        </w:rPr>
        <w:t>Лівінського</w:t>
      </w:r>
      <w:proofErr w:type="spellEnd"/>
      <w:r w:rsidR="006020CE" w:rsidRPr="006020CE">
        <w:rPr>
          <w:b/>
          <w:spacing w:val="-2"/>
          <w:lang w:val="uk-UA"/>
        </w:rPr>
        <w:t xml:space="preserve"> </w:t>
      </w:r>
      <w:r w:rsidR="006020CE">
        <w:rPr>
          <w:b/>
          <w:spacing w:val="-2"/>
          <w:lang w:val="uk-UA"/>
        </w:rPr>
        <w:t>С.В.</w:t>
      </w:r>
      <w:r w:rsidR="006020CE" w:rsidRPr="006020CE">
        <w:rPr>
          <w:b/>
          <w:spacing w:val="-2"/>
          <w:lang w:val="uk-UA"/>
        </w:rPr>
        <w:t xml:space="preserve">, </w:t>
      </w:r>
      <w:proofErr w:type="spellStart"/>
      <w:r w:rsidR="006020CE" w:rsidRPr="006020CE">
        <w:rPr>
          <w:b/>
          <w:spacing w:val="-2"/>
          <w:lang w:val="uk-UA"/>
        </w:rPr>
        <w:t>Суханової</w:t>
      </w:r>
      <w:proofErr w:type="spellEnd"/>
      <w:r w:rsidR="006020CE" w:rsidRPr="006020CE">
        <w:rPr>
          <w:b/>
          <w:spacing w:val="-2"/>
          <w:lang w:val="uk-UA"/>
        </w:rPr>
        <w:t xml:space="preserve"> </w:t>
      </w:r>
      <w:r w:rsidR="006020CE">
        <w:rPr>
          <w:b/>
          <w:spacing w:val="-2"/>
          <w:lang w:val="uk-UA"/>
        </w:rPr>
        <w:t>Є.</w:t>
      </w:r>
      <w:r w:rsidR="00913DC9">
        <w:rPr>
          <w:b/>
          <w:spacing w:val="-2"/>
          <w:lang w:val="uk-UA"/>
        </w:rPr>
        <w:t>М</w:t>
      </w:r>
      <w:r w:rsidR="006020CE">
        <w:rPr>
          <w:b/>
          <w:spacing w:val="-2"/>
          <w:lang w:val="uk-UA"/>
        </w:rPr>
        <w:t xml:space="preserve">.; </w:t>
      </w:r>
      <w:proofErr w:type="spellStart"/>
      <w:r w:rsidR="00D40671" w:rsidRPr="00D40671">
        <w:rPr>
          <w:b/>
          <w:spacing w:val="-2"/>
          <w:lang w:val="uk-UA"/>
        </w:rPr>
        <w:t>Миропольського</w:t>
      </w:r>
      <w:proofErr w:type="spellEnd"/>
      <w:r w:rsidR="00D40671" w:rsidRPr="00D40671">
        <w:rPr>
          <w:b/>
          <w:spacing w:val="-2"/>
          <w:lang w:val="uk-UA"/>
        </w:rPr>
        <w:t xml:space="preserve"> В.С. </w:t>
      </w:r>
      <w:r w:rsidR="00D40671">
        <w:rPr>
          <w:b/>
          <w:spacing w:val="-2"/>
          <w:lang w:val="uk-UA"/>
        </w:rPr>
        <w:t>стосовно</w:t>
      </w:r>
      <w:r w:rsidR="00D40671" w:rsidRPr="00D40671">
        <w:rPr>
          <w:b/>
          <w:spacing w:val="-2"/>
          <w:lang w:val="uk-UA"/>
        </w:rPr>
        <w:t xml:space="preserve"> судді Касаційного цивільного суду у складі Верховного Суду Кузнєцова В.О.</w:t>
      </w:r>
    </w:p>
    <w:p w:rsidR="000124CF" w:rsidRDefault="000124CF" w:rsidP="00AA2A8A">
      <w:pPr>
        <w:ind w:right="5527"/>
        <w:jc w:val="both"/>
        <w:rPr>
          <w:sz w:val="16"/>
          <w:szCs w:val="16"/>
          <w:lang w:val="uk-UA"/>
        </w:rPr>
      </w:pPr>
    </w:p>
    <w:p w:rsidR="002524A9" w:rsidRDefault="002524A9" w:rsidP="00AA2A8A">
      <w:pPr>
        <w:ind w:right="5527"/>
        <w:jc w:val="both"/>
        <w:rPr>
          <w:sz w:val="16"/>
          <w:szCs w:val="16"/>
          <w:lang w:val="uk-UA"/>
        </w:rPr>
      </w:pPr>
    </w:p>
    <w:p w:rsidR="000124CF" w:rsidRPr="0059033B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20369F">
        <w:rPr>
          <w:sz w:val="28"/>
          <w:szCs w:val="28"/>
          <w:lang w:val="uk-UA"/>
        </w:rPr>
        <w:t>Прудивуса О.В</w:t>
      </w:r>
      <w:r w:rsidR="0020369F" w:rsidRPr="00EF267E">
        <w:rPr>
          <w:sz w:val="28"/>
          <w:szCs w:val="28"/>
          <w:lang w:val="uk-UA"/>
        </w:rPr>
        <w:t>.</w:t>
      </w:r>
      <w:r w:rsidR="00EF267E" w:rsidRPr="00EF267E">
        <w:rPr>
          <w:sz w:val="28"/>
          <w:szCs w:val="28"/>
          <w:lang w:val="uk-UA"/>
        </w:rPr>
        <w:t>, член</w:t>
      </w:r>
      <w:r w:rsidR="00E864AD">
        <w:rPr>
          <w:sz w:val="28"/>
          <w:szCs w:val="28"/>
          <w:lang w:val="uk-UA"/>
        </w:rPr>
        <w:t>ів</w:t>
      </w:r>
      <w:r w:rsidR="00EF267E" w:rsidRPr="00EF267E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r w:rsidR="0072627D">
        <w:rPr>
          <w:sz w:val="28"/>
          <w:szCs w:val="28"/>
          <w:lang w:val="uk-UA"/>
        </w:rPr>
        <w:t xml:space="preserve">Артеменка І.А., </w:t>
      </w:r>
      <w:proofErr w:type="spellStart"/>
      <w:r w:rsidR="00EF267E" w:rsidRPr="00EF267E">
        <w:rPr>
          <w:sz w:val="28"/>
          <w:szCs w:val="28"/>
          <w:lang w:val="uk-UA"/>
        </w:rPr>
        <w:t>Блажівської</w:t>
      </w:r>
      <w:proofErr w:type="spellEnd"/>
      <w:r w:rsidR="00EF267E" w:rsidRPr="00EF267E">
        <w:rPr>
          <w:sz w:val="28"/>
          <w:szCs w:val="28"/>
          <w:lang w:val="uk-UA"/>
        </w:rPr>
        <w:t xml:space="preserve"> О.Є.</w:t>
      </w:r>
      <w:r w:rsidR="00E864AD">
        <w:rPr>
          <w:sz w:val="28"/>
          <w:szCs w:val="28"/>
          <w:lang w:val="uk-UA"/>
        </w:rPr>
        <w:t>,</w:t>
      </w:r>
      <w:r w:rsidR="006C0949"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7D5AED" w:rsidRPr="00E12181" w:rsidRDefault="00EF267E" w:rsidP="000124CF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0124CF" w:rsidRDefault="000124CF" w:rsidP="000124CF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A5570E" w:rsidRPr="001C5400" w:rsidRDefault="00A5570E" w:rsidP="000124CF">
      <w:pPr>
        <w:jc w:val="center"/>
        <w:rPr>
          <w:rStyle w:val="rvts9"/>
          <w:b/>
          <w:sz w:val="28"/>
          <w:szCs w:val="28"/>
          <w:lang w:val="uk-UA"/>
        </w:rPr>
      </w:pPr>
    </w:p>
    <w:p w:rsidR="00C35ED6" w:rsidRPr="006020CE" w:rsidRDefault="00555558" w:rsidP="006020CE">
      <w:pPr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0262D">
        <w:rPr>
          <w:sz w:val="28"/>
          <w:szCs w:val="28"/>
          <w:lang w:val="uk-UA"/>
        </w:rPr>
        <w:t xml:space="preserve">. </w:t>
      </w:r>
      <w:r w:rsidR="006020CE" w:rsidRPr="006020CE">
        <w:rPr>
          <w:bCs/>
          <w:sz w:val="28"/>
          <w:szCs w:val="28"/>
          <w:lang w:val="uk-UA"/>
        </w:rPr>
        <w:t xml:space="preserve">20 жовтня 2017 року до Вищої ради правосуддя з Вищої кваліфікаційної комісії суддів України за вхідним № 1292/0/20-17 надійшла скарга </w:t>
      </w:r>
      <w:proofErr w:type="spellStart"/>
      <w:r w:rsidR="006020CE" w:rsidRPr="006020CE">
        <w:rPr>
          <w:bCs/>
          <w:sz w:val="28"/>
          <w:szCs w:val="28"/>
          <w:lang w:val="uk-UA"/>
        </w:rPr>
        <w:t>Милко</w:t>
      </w:r>
      <w:proofErr w:type="spellEnd"/>
      <w:r w:rsidR="006020CE" w:rsidRPr="006020CE">
        <w:rPr>
          <w:bCs/>
          <w:sz w:val="28"/>
          <w:szCs w:val="28"/>
          <w:lang w:val="uk-UA"/>
        </w:rPr>
        <w:t xml:space="preserve"> В.О. на дії суддів Апеляційного суду Київської області </w:t>
      </w:r>
      <w:proofErr w:type="spellStart"/>
      <w:r w:rsidR="006020CE" w:rsidRPr="006020CE">
        <w:rPr>
          <w:bCs/>
          <w:sz w:val="28"/>
          <w:szCs w:val="28"/>
          <w:lang w:val="uk-UA"/>
        </w:rPr>
        <w:t>Лівінського</w:t>
      </w:r>
      <w:proofErr w:type="spellEnd"/>
      <w:r w:rsidR="006020CE" w:rsidRPr="006020CE">
        <w:rPr>
          <w:bCs/>
          <w:sz w:val="28"/>
          <w:szCs w:val="28"/>
          <w:lang w:val="uk-UA"/>
        </w:rPr>
        <w:t xml:space="preserve"> С.В., </w:t>
      </w:r>
      <w:r w:rsidR="006020CE">
        <w:rPr>
          <w:bCs/>
          <w:sz w:val="28"/>
          <w:szCs w:val="28"/>
          <w:lang w:val="uk-UA"/>
        </w:rPr>
        <w:br/>
      </w:r>
      <w:proofErr w:type="spellStart"/>
      <w:r w:rsidR="006020CE" w:rsidRPr="006020CE">
        <w:rPr>
          <w:bCs/>
          <w:sz w:val="28"/>
          <w:szCs w:val="28"/>
          <w:lang w:val="uk-UA"/>
        </w:rPr>
        <w:t>Суханової</w:t>
      </w:r>
      <w:proofErr w:type="spellEnd"/>
      <w:r w:rsidR="006020CE" w:rsidRPr="006020CE">
        <w:rPr>
          <w:bCs/>
          <w:sz w:val="28"/>
          <w:szCs w:val="28"/>
          <w:lang w:val="uk-UA"/>
        </w:rPr>
        <w:t xml:space="preserve"> Є.М.</w:t>
      </w:r>
      <w:r w:rsidR="006020CE">
        <w:rPr>
          <w:bCs/>
          <w:sz w:val="28"/>
          <w:szCs w:val="28"/>
          <w:lang w:val="uk-UA"/>
        </w:rPr>
        <w:t xml:space="preserve"> (нині судді Київського апеляційного суду)</w:t>
      </w:r>
      <w:r w:rsidR="006020CE" w:rsidRPr="006020CE">
        <w:rPr>
          <w:bCs/>
          <w:sz w:val="28"/>
          <w:szCs w:val="28"/>
          <w:lang w:val="uk-UA"/>
        </w:rPr>
        <w:t xml:space="preserve"> під час розгляду справи № 22-ц/780/3677/16</w:t>
      </w:r>
      <w:r w:rsidR="006020CE">
        <w:rPr>
          <w:bCs/>
          <w:sz w:val="28"/>
          <w:szCs w:val="28"/>
          <w:lang w:val="uk-UA"/>
        </w:rPr>
        <w:t>.</w:t>
      </w:r>
    </w:p>
    <w:p w:rsidR="002B4AB8" w:rsidRDefault="002B4AB8" w:rsidP="00C35ED6">
      <w:pPr>
        <w:ind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126CED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 w:rsidR="006020CE">
        <w:rPr>
          <w:sz w:val="28"/>
          <w:szCs w:val="28"/>
          <w:lang w:val="uk-UA"/>
        </w:rPr>
        <w:t>15 жовтня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EB2CEB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78090C" w:rsidRPr="0078090C" w:rsidRDefault="006020CE" w:rsidP="006C094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52BC">
        <w:rPr>
          <w:sz w:val="28"/>
          <w:szCs w:val="28"/>
          <w:lang w:val="uk-UA"/>
        </w:rPr>
        <w:t>.</w:t>
      </w:r>
      <w:r w:rsidR="00176A25">
        <w:rPr>
          <w:sz w:val="28"/>
          <w:szCs w:val="28"/>
          <w:lang w:val="uk-UA"/>
        </w:rPr>
        <w:t xml:space="preserve"> </w:t>
      </w:r>
      <w:r w:rsidR="006C0949" w:rsidRPr="006C0949">
        <w:rPr>
          <w:sz w:val="28"/>
          <w:szCs w:val="28"/>
          <w:lang w:val="uk-UA"/>
        </w:rPr>
        <w:t>14 червня 2018 року до Вищої ради правосуддя за вхідним</w:t>
      </w:r>
      <w:r w:rsidR="006C0949">
        <w:rPr>
          <w:sz w:val="28"/>
          <w:szCs w:val="28"/>
          <w:lang w:val="uk-UA"/>
        </w:rPr>
        <w:br/>
      </w:r>
      <w:r w:rsidR="006C0949" w:rsidRPr="006C0949">
        <w:rPr>
          <w:sz w:val="28"/>
          <w:szCs w:val="28"/>
          <w:lang w:val="uk-UA"/>
        </w:rPr>
        <w:t xml:space="preserve">№ М-3653/0/7-18 надійшла скарга </w:t>
      </w:r>
      <w:proofErr w:type="spellStart"/>
      <w:r w:rsidR="006C0949" w:rsidRPr="006C0949">
        <w:rPr>
          <w:sz w:val="28"/>
          <w:szCs w:val="28"/>
          <w:lang w:val="uk-UA"/>
        </w:rPr>
        <w:t>Миропольського</w:t>
      </w:r>
      <w:proofErr w:type="spellEnd"/>
      <w:r w:rsidR="006C0949" w:rsidRPr="006C0949">
        <w:rPr>
          <w:sz w:val="28"/>
          <w:szCs w:val="28"/>
          <w:lang w:val="uk-UA"/>
        </w:rPr>
        <w:t xml:space="preserve"> В.С. на дії судді Касаційного цивільного суду у складі Верховного Суду Кузнєцова В.О. під час розгляду справи № 206/6720/15-ц</w:t>
      </w:r>
      <w:r w:rsidR="0078090C" w:rsidRPr="0078090C">
        <w:rPr>
          <w:sz w:val="28"/>
          <w:szCs w:val="28"/>
          <w:lang w:val="uk-UA"/>
        </w:rPr>
        <w:t>.</w:t>
      </w:r>
    </w:p>
    <w:p w:rsidR="009F52BC" w:rsidRDefault="0078090C" w:rsidP="0078090C">
      <w:pPr>
        <w:ind w:right="-1" w:firstLine="708"/>
        <w:jc w:val="both"/>
        <w:rPr>
          <w:sz w:val="28"/>
          <w:szCs w:val="28"/>
          <w:lang w:val="uk-UA"/>
        </w:rPr>
      </w:pPr>
      <w:r w:rsidRPr="0078090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78090C">
        <w:rPr>
          <w:sz w:val="28"/>
          <w:szCs w:val="28"/>
          <w:lang w:val="uk-UA"/>
        </w:rPr>
        <w:t>Худиком</w:t>
      </w:r>
      <w:proofErr w:type="spellEnd"/>
      <w:r w:rsidRPr="0078090C">
        <w:rPr>
          <w:sz w:val="28"/>
          <w:szCs w:val="28"/>
          <w:lang w:val="uk-UA"/>
        </w:rPr>
        <w:t xml:space="preserve"> М.П. складено висновок від </w:t>
      </w:r>
      <w:r w:rsidR="009E4EA3">
        <w:rPr>
          <w:sz w:val="28"/>
          <w:szCs w:val="28"/>
          <w:lang w:val="uk-UA"/>
        </w:rPr>
        <w:t>15 жовтня</w:t>
      </w:r>
      <w:r w:rsidRPr="0078090C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судовими </w:t>
      </w:r>
      <w:r w:rsidRPr="0078090C">
        <w:rPr>
          <w:sz w:val="28"/>
          <w:szCs w:val="28"/>
          <w:lang w:val="uk-UA"/>
        </w:rPr>
        <w:lastRenderedPageBreak/>
        <w:t>рішеннями (пункт 4 частини першої статті 45 Закону України «Про Вищу раду правосуддя»).</w:t>
      </w:r>
      <w:r>
        <w:rPr>
          <w:sz w:val="28"/>
          <w:szCs w:val="28"/>
          <w:lang w:val="uk-UA"/>
        </w:rPr>
        <w:t xml:space="preserve"> </w:t>
      </w:r>
    </w:p>
    <w:p w:rsidR="00EB2CEB" w:rsidRDefault="000C2397" w:rsidP="0070262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EB2CEB">
        <w:rPr>
          <w:sz w:val="28"/>
          <w:szCs w:val="28"/>
          <w:lang w:val="uk-UA"/>
        </w:rPr>
        <w:t xml:space="preserve"> до</w:t>
      </w:r>
      <w:r w:rsidR="00EB2CEB" w:rsidRPr="00EB2CEB">
        <w:rPr>
          <w:sz w:val="28"/>
          <w:szCs w:val="28"/>
          <w:lang w:val="uk-UA"/>
        </w:rPr>
        <w:t xml:space="preserve">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0124CF" w:rsidRPr="002B69E1" w:rsidRDefault="000C2397" w:rsidP="000124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124CF" w:rsidRPr="002B69E1">
        <w:rPr>
          <w:sz w:val="28"/>
          <w:szCs w:val="28"/>
          <w:lang w:val="uk-UA"/>
        </w:rPr>
        <w:t>унктом 4 частини першої статті 45 Закону України «Про Вищу раду правосуддя»</w:t>
      </w:r>
      <w:r>
        <w:rPr>
          <w:sz w:val="28"/>
          <w:szCs w:val="28"/>
          <w:lang w:val="uk-UA"/>
        </w:rPr>
        <w:t xml:space="preserve"> встановлено, що</w:t>
      </w:r>
      <w:r w:rsidR="000124CF" w:rsidRPr="002B69E1">
        <w:rPr>
          <w:sz w:val="28"/>
          <w:szCs w:val="28"/>
          <w:lang w:val="uk-UA"/>
        </w:rPr>
        <w:t xml:space="preserve"> у відкритті дисциплінарної справи має бути відмовлено, якщо суть скарги зводиться лише до незгоди із судовим рішенням.</w:t>
      </w:r>
    </w:p>
    <w:p w:rsidR="000124CF" w:rsidRDefault="000124CF" w:rsidP="000124CF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</w:t>
      </w:r>
      <w:r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:rsidR="00AC011B" w:rsidRDefault="00AC011B" w:rsidP="000124CF">
      <w:pPr>
        <w:ind w:firstLine="708"/>
        <w:jc w:val="both"/>
        <w:rPr>
          <w:sz w:val="28"/>
          <w:szCs w:val="28"/>
          <w:lang w:val="uk-UA"/>
        </w:rPr>
      </w:pPr>
    </w:p>
    <w:p w:rsidR="000124CF" w:rsidRPr="002B69E1" w:rsidRDefault="000124CF" w:rsidP="000124CF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0124CF" w:rsidRPr="002B69E1" w:rsidRDefault="000124CF" w:rsidP="000124CF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D4965" w:rsidRPr="004010ED" w:rsidRDefault="000124CF" w:rsidP="006020CE">
      <w:pPr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1.</w:t>
      </w:r>
      <w:r w:rsidR="006F010E">
        <w:rPr>
          <w:sz w:val="28"/>
          <w:szCs w:val="28"/>
          <w:lang w:val="uk-UA"/>
        </w:rPr>
        <w:t xml:space="preserve"> </w:t>
      </w:r>
      <w:r w:rsidR="00A16E42" w:rsidRPr="004010E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16E42" w:rsidRPr="004010ED">
        <w:rPr>
          <w:sz w:val="28"/>
          <w:szCs w:val="28"/>
          <w:lang w:val="uk-UA"/>
        </w:rPr>
        <w:br/>
      </w:r>
      <w:proofErr w:type="spellStart"/>
      <w:r w:rsidR="006020CE" w:rsidRPr="006020CE">
        <w:rPr>
          <w:sz w:val="28"/>
          <w:szCs w:val="28"/>
          <w:lang w:val="uk-UA"/>
        </w:rPr>
        <w:t>Милко</w:t>
      </w:r>
      <w:proofErr w:type="spellEnd"/>
      <w:r w:rsidR="006020CE" w:rsidRPr="006020CE">
        <w:rPr>
          <w:sz w:val="28"/>
          <w:szCs w:val="28"/>
          <w:lang w:val="uk-UA"/>
        </w:rPr>
        <w:t xml:space="preserve"> Валентини Олександрівни стосовно суддів Київського апеляційного суду </w:t>
      </w:r>
      <w:proofErr w:type="spellStart"/>
      <w:r w:rsidR="006020CE" w:rsidRPr="006020CE">
        <w:rPr>
          <w:sz w:val="28"/>
          <w:szCs w:val="28"/>
          <w:lang w:val="uk-UA"/>
        </w:rPr>
        <w:t>Лівінського</w:t>
      </w:r>
      <w:proofErr w:type="spellEnd"/>
      <w:r w:rsidR="006020CE" w:rsidRPr="006020CE">
        <w:rPr>
          <w:sz w:val="28"/>
          <w:szCs w:val="28"/>
          <w:lang w:val="uk-UA"/>
        </w:rPr>
        <w:t xml:space="preserve"> Сергія Володимировича, </w:t>
      </w:r>
      <w:proofErr w:type="spellStart"/>
      <w:r w:rsidR="006020CE" w:rsidRPr="006020CE">
        <w:rPr>
          <w:sz w:val="28"/>
          <w:szCs w:val="28"/>
          <w:lang w:val="uk-UA"/>
        </w:rPr>
        <w:t>Суханової</w:t>
      </w:r>
      <w:proofErr w:type="spellEnd"/>
      <w:r w:rsidR="006020CE" w:rsidRPr="006020CE">
        <w:rPr>
          <w:sz w:val="28"/>
          <w:szCs w:val="28"/>
          <w:lang w:val="uk-UA"/>
        </w:rPr>
        <w:t xml:space="preserve"> Єлизавет</w:t>
      </w:r>
      <w:r w:rsidR="00913DC9">
        <w:rPr>
          <w:sz w:val="28"/>
          <w:szCs w:val="28"/>
          <w:lang w:val="uk-UA"/>
        </w:rPr>
        <w:t>и</w:t>
      </w:r>
      <w:r w:rsidR="006020CE" w:rsidRPr="006020CE">
        <w:rPr>
          <w:sz w:val="28"/>
          <w:szCs w:val="28"/>
          <w:lang w:val="uk-UA"/>
        </w:rPr>
        <w:t xml:space="preserve"> Миколаївни</w:t>
      </w:r>
      <w:r w:rsidR="00A16E42" w:rsidRPr="004010ED">
        <w:rPr>
          <w:sz w:val="28"/>
          <w:szCs w:val="28"/>
          <w:lang w:val="uk-UA"/>
        </w:rPr>
        <w:t>.</w:t>
      </w:r>
    </w:p>
    <w:p w:rsidR="000124CF" w:rsidRPr="004010ED" w:rsidRDefault="007474BF" w:rsidP="000124CF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D4965">
        <w:rPr>
          <w:sz w:val="28"/>
          <w:szCs w:val="28"/>
          <w:lang w:val="uk-UA"/>
        </w:rPr>
        <w:t xml:space="preserve">. </w:t>
      </w:r>
      <w:r w:rsidR="00F76BE8" w:rsidRPr="004010ED">
        <w:rPr>
          <w:sz w:val="28"/>
          <w:szCs w:val="28"/>
          <w:lang w:val="uk-UA"/>
        </w:rPr>
        <w:t>В</w:t>
      </w:r>
      <w:r w:rsidR="00A16E42" w:rsidRPr="004010ED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A16E42" w:rsidRPr="004010ED">
        <w:rPr>
          <w:sz w:val="28"/>
          <w:szCs w:val="28"/>
          <w:lang w:val="uk-UA"/>
        </w:rPr>
        <w:br/>
      </w:r>
      <w:proofErr w:type="spellStart"/>
      <w:r w:rsidR="006C0949" w:rsidRPr="006C0949">
        <w:rPr>
          <w:sz w:val="28"/>
          <w:szCs w:val="28"/>
          <w:lang w:val="uk-UA"/>
        </w:rPr>
        <w:t>Миропольського</w:t>
      </w:r>
      <w:proofErr w:type="spellEnd"/>
      <w:r w:rsidR="006C0949" w:rsidRPr="006C0949">
        <w:rPr>
          <w:sz w:val="28"/>
          <w:szCs w:val="28"/>
          <w:lang w:val="uk-UA"/>
        </w:rPr>
        <w:t xml:space="preserve"> </w:t>
      </w:r>
      <w:proofErr w:type="spellStart"/>
      <w:r w:rsidR="006C0949" w:rsidRPr="006C0949">
        <w:rPr>
          <w:sz w:val="28"/>
          <w:szCs w:val="28"/>
          <w:lang w:val="uk-UA"/>
        </w:rPr>
        <w:t>Вячеслава</w:t>
      </w:r>
      <w:proofErr w:type="spellEnd"/>
      <w:r w:rsidR="006C0949" w:rsidRPr="006C0949">
        <w:rPr>
          <w:sz w:val="28"/>
          <w:szCs w:val="28"/>
          <w:lang w:val="uk-UA"/>
        </w:rPr>
        <w:t xml:space="preserve"> Семеновича стосовно судді Касаційного цивільного суду у складі Верховного Суду Кузнєцова Віктора Олексійовича</w:t>
      </w:r>
      <w:r w:rsidR="00CD4965" w:rsidRPr="004010ED">
        <w:rPr>
          <w:sz w:val="28"/>
          <w:szCs w:val="28"/>
          <w:lang w:val="uk-UA"/>
        </w:rPr>
        <w:t>.</w:t>
      </w:r>
    </w:p>
    <w:p w:rsidR="000124CF" w:rsidRDefault="000124CF" w:rsidP="006F010E">
      <w:pPr>
        <w:ind w:right="-1"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:rsidR="0078090C" w:rsidRPr="00E77B4F" w:rsidRDefault="0078090C" w:rsidP="006F010E">
      <w:pPr>
        <w:ind w:right="-1" w:firstLine="708"/>
        <w:jc w:val="both"/>
        <w:rPr>
          <w:sz w:val="28"/>
          <w:szCs w:val="28"/>
          <w:lang w:val="uk-UA"/>
        </w:rPr>
      </w:pPr>
    </w:p>
    <w:p w:rsidR="000124CF" w:rsidRPr="007474BF" w:rsidRDefault="000124CF" w:rsidP="000124CF">
      <w:pPr>
        <w:jc w:val="both"/>
        <w:rPr>
          <w:sz w:val="16"/>
          <w:szCs w:val="16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Головуючий на засіданні 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Другої Дисциплінарної палати</w:t>
      </w: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Вищої ради правосуддя</w:t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ab/>
      </w:r>
      <w:r w:rsidR="0020369F">
        <w:rPr>
          <w:b/>
          <w:sz w:val="28"/>
          <w:szCs w:val="28"/>
          <w:lang w:val="uk-UA"/>
        </w:rPr>
        <w:t>О.В. Прудивус</w:t>
      </w:r>
      <w:r w:rsidR="0020369F" w:rsidRPr="00EF267E">
        <w:rPr>
          <w:b/>
          <w:sz w:val="28"/>
          <w:szCs w:val="28"/>
          <w:lang w:val="uk-UA"/>
        </w:rPr>
        <w:t xml:space="preserve"> </w:t>
      </w:r>
    </w:p>
    <w:p w:rsidR="00EF267E" w:rsidRPr="00F76BE8" w:rsidRDefault="00EF267E" w:rsidP="00EF267E">
      <w:pPr>
        <w:jc w:val="both"/>
        <w:rPr>
          <w:b/>
          <w:sz w:val="28"/>
          <w:szCs w:val="28"/>
          <w:lang w:val="uk-UA"/>
        </w:rPr>
      </w:pPr>
    </w:p>
    <w:p w:rsidR="00EF267E" w:rsidRPr="00EF267E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>Член</w:t>
      </w:r>
      <w:r w:rsidR="00E864AD">
        <w:rPr>
          <w:b/>
          <w:sz w:val="28"/>
          <w:szCs w:val="28"/>
          <w:lang w:val="uk-UA"/>
        </w:rPr>
        <w:t>и</w:t>
      </w:r>
      <w:r w:rsidRPr="00EF267E">
        <w:rPr>
          <w:b/>
          <w:sz w:val="28"/>
          <w:szCs w:val="28"/>
          <w:lang w:val="uk-UA"/>
        </w:rPr>
        <w:t xml:space="preserve"> Другої Дисциплінарної </w:t>
      </w:r>
    </w:p>
    <w:p w:rsidR="0072627D" w:rsidRDefault="00EF267E" w:rsidP="00EF267E">
      <w:pPr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EF267E">
        <w:rPr>
          <w:b/>
          <w:sz w:val="28"/>
          <w:szCs w:val="28"/>
          <w:lang w:val="uk-UA"/>
        </w:rPr>
        <w:tab/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EF267E">
        <w:rPr>
          <w:b/>
          <w:sz w:val="28"/>
          <w:szCs w:val="28"/>
          <w:lang w:val="uk-UA"/>
        </w:rPr>
        <w:t xml:space="preserve">   </w:t>
      </w:r>
      <w:r w:rsidR="0072627D">
        <w:rPr>
          <w:b/>
          <w:sz w:val="28"/>
          <w:szCs w:val="28"/>
          <w:lang w:val="uk-UA"/>
        </w:rPr>
        <w:t>І.А. Артеменко</w:t>
      </w:r>
    </w:p>
    <w:p w:rsidR="0072627D" w:rsidRDefault="0072627D" w:rsidP="00EF267E">
      <w:pPr>
        <w:jc w:val="both"/>
        <w:rPr>
          <w:b/>
          <w:sz w:val="28"/>
          <w:szCs w:val="28"/>
          <w:lang w:val="uk-UA"/>
        </w:rPr>
      </w:pPr>
    </w:p>
    <w:p w:rsidR="00EF267E" w:rsidRDefault="00EF267E" w:rsidP="0072627D">
      <w:pPr>
        <w:ind w:left="7080"/>
        <w:jc w:val="both"/>
        <w:rPr>
          <w:b/>
          <w:sz w:val="28"/>
          <w:szCs w:val="28"/>
          <w:lang w:val="uk-UA"/>
        </w:rPr>
      </w:pPr>
      <w:r w:rsidRPr="00EF267E">
        <w:rPr>
          <w:b/>
          <w:sz w:val="28"/>
          <w:szCs w:val="28"/>
          <w:lang w:val="uk-UA"/>
        </w:rPr>
        <w:t xml:space="preserve">О.Є. </w:t>
      </w:r>
      <w:proofErr w:type="spellStart"/>
      <w:r w:rsidRPr="00EF267E">
        <w:rPr>
          <w:b/>
          <w:sz w:val="28"/>
          <w:szCs w:val="28"/>
          <w:lang w:val="uk-UA"/>
        </w:rPr>
        <w:t>Блажівська</w:t>
      </w:r>
      <w:proofErr w:type="spellEnd"/>
    </w:p>
    <w:p w:rsidR="006C0949" w:rsidRDefault="006C0949" w:rsidP="0072627D">
      <w:pPr>
        <w:ind w:left="7080"/>
        <w:jc w:val="both"/>
        <w:rPr>
          <w:b/>
          <w:sz w:val="28"/>
          <w:szCs w:val="28"/>
          <w:lang w:val="uk-UA"/>
        </w:rPr>
      </w:pPr>
    </w:p>
    <w:p w:rsidR="0020369F" w:rsidRPr="00EF267E" w:rsidRDefault="0020369F" w:rsidP="00EF267E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F274D5" w:rsidRPr="006F010E" w:rsidRDefault="00EF267E" w:rsidP="000C2397">
      <w:pPr>
        <w:jc w:val="both"/>
        <w:rPr>
          <w:lang w:val="uk-UA"/>
        </w:rPr>
      </w:pP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Pr="00EF267E">
        <w:rPr>
          <w:b/>
          <w:sz w:val="28"/>
          <w:szCs w:val="28"/>
          <w:lang w:val="uk-UA"/>
        </w:rPr>
        <w:tab/>
      </w:r>
      <w:r w:rsidR="00E864AD">
        <w:rPr>
          <w:b/>
          <w:sz w:val="28"/>
          <w:szCs w:val="28"/>
          <w:lang w:val="uk-UA"/>
        </w:rPr>
        <w:t xml:space="preserve"> </w:t>
      </w:r>
    </w:p>
    <w:sectPr w:rsidR="00F274D5" w:rsidRPr="006F010E" w:rsidSect="00647CFB">
      <w:headerReference w:type="default" r:id="rId8"/>
      <w:pgSz w:w="11906" w:h="16838"/>
      <w:pgMar w:top="1135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90C" w:rsidRDefault="0078090C">
      <w:r>
        <w:separator/>
      </w:r>
    </w:p>
  </w:endnote>
  <w:endnote w:type="continuationSeparator" w:id="0">
    <w:p w:rsidR="0078090C" w:rsidRDefault="0078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90C" w:rsidRDefault="0078090C">
      <w:r>
        <w:separator/>
      </w:r>
    </w:p>
  </w:footnote>
  <w:footnote w:type="continuationSeparator" w:id="0">
    <w:p w:rsidR="0078090C" w:rsidRDefault="0078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4509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090C" w:rsidRDefault="00A55C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5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090C" w:rsidRDefault="007809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F7B88"/>
    <w:multiLevelType w:val="multilevel"/>
    <w:tmpl w:val="C708F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CF"/>
    <w:rsid w:val="000124CF"/>
    <w:rsid w:val="00075BF2"/>
    <w:rsid w:val="000905D8"/>
    <w:rsid w:val="000C2397"/>
    <w:rsid w:val="0011229A"/>
    <w:rsid w:val="00176A25"/>
    <w:rsid w:val="001B3D43"/>
    <w:rsid w:val="0020369F"/>
    <w:rsid w:val="002524A9"/>
    <w:rsid w:val="002B4AB8"/>
    <w:rsid w:val="003154D1"/>
    <w:rsid w:val="00316103"/>
    <w:rsid w:val="00333BDE"/>
    <w:rsid w:val="00343A84"/>
    <w:rsid w:val="00355617"/>
    <w:rsid w:val="003D0C00"/>
    <w:rsid w:val="004010ED"/>
    <w:rsid w:val="004039C0"/>
    <w:rsid w:val="004076FB"/>
    <w:rsid w:val="004E6D82"/>
    <w:rsid w:val="00555558"/>
    <w:rsid w:val="00574683"/>
    <w:rsid w:val="00594B3A"/>
    <w:rsid w:val="006020CE"/>
    <w:rsid w:val="00647CFB"/>
    <w:rsid w:val="006C0949"/>
    <w:rsid w:val="006D72A4"/>
    <w:rsid w:val="006F010E"/>
    <w:rsid w:val="0070262D"/>
    <w:rsid w:val="0072627D"/>
    <w:rsid w:val="007474BF"/>
    <w:rsid w:val="00777B28"/>
    <w:rsid w:val="0078090C"/>
    <w:rsid w:val="00792C76"/>
    <w:rsid w:val="007C7D4F"/>
    <w:rsid w:val="007D5AED"/>
    <w:rsid w:val="008376BE"/>
    <w:rsid w:val="008948FA"/>
    <w:rsid w:val="00913DC9"/>
    <w:rsid w:val="00975D46"/>
    <w:rsid w:val="0098370F"/>
    <w:rsid w:val="009935D0"/>
    <w:rsid w:val="009E4EA3"/>
    <w:rsid w:val="009F52BC"/>
    <w:rsid w:val="00A16E42"/>
    <w:rsid w:val="00A203C3"/>
    <w:rsid w:val="00A5570E"/>
    <w:rsid w:val="00A55C6E"/>
    <w:rsid w:val="00AA2A8A"/>
    <w:rsid w:val="00AC011B"/>
    <w:rsid w:val="00B0082D"/>
    <w:rsid w:val="00B95C08"/>
    <w:rsid w:val="00BB34AE"/>
    <w:rsid w:val="00BC3F13"/>
    <w:rsid w:val="00C35ED6"/>
    <w:rsid w:val="00CD4965"/>
    <w:rsid w:val="00D27435"/>
    <w:rsid w:val="00D40671"/>
    <w:rsid w:val="00D57680"/>
    <w:rsid w:val="00D635F6"/>
    <w:rsid w:val="00D65DAE"/>
    <w:rsid w:val="00E12181"/>
    <w:rsid w:val="00E46988"/>
    <w:rsid w:val="00E864AD"/>
    <w:rsid w:val="00E9524B"/>
    <w:rsid w:val="00EB2CEB"/>
    <w:rsid w:val="00EF267E"/>
    <w:rsid w:val="00F071C7"/>
    <w:rsid w:val="00F274D5"/>
    <w:rsid w:val="00F63BA7"/>
    <w:rsid w:val="00F76BE8"/>
    <w:rsid w:val="00F82E10"/>
    <w:rsid w:val="00F96649"/>
    <w:rsid w:val="00FB6145"/>
    <w:rsid w:val="00FB66E6"/>
    <w:rsid w:val="00FF3F61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8A00"/>
  <w15:docId w15:val="{D34062BE-B0CB-4456-A949-B05AFF67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0124CF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0124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0124CF"/>
    <w:rPr>
      <w:rFonts w:cs="Times New Roman"/>
    </w:rPr>
  </w:style>
  <w:style w:type="paragraph" w:styleId="a5">
    <w:name w:val="Body Text"/>
    <w:basedOn w:val="a"/>
    <w:link w:val="a6"/>
    <w:rsid w:val="000124CF"/>
    <w:pPr>
      <w:spacing w:after="120"/>
    </w:pPr>
  </w:style>
  <w:style w:type="character" w:customStyle="1" w:styleId="a6">
    <w:name w:val="Основний текст Знак"/>
    <w:basedOn w:val="a0"/>
    <w:link w:val="a5"/>
    <w:rsid w:val="000124CF"/>
    <w:rPr>
      <w:rFonts w:eastAsia="Calibri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124C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124CF"/>
    <w:rPr>
      <w:rFonts w:eastAsia="Calibri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43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character" w:styleId="ab">
    <w:name w:val="Strong"/>
    <w:basedOn w:val="a0"/>
    <w:uiPriority w:val="22"/>
    <w:qFormat/>
    <w:rsid w:val="004010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2147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Маліновський</cp:lastModifiedBy>
  <cp:revision>2</cp:revision>
  <cp:lastPrinted>2020-10-26T15:05:00Z</cp:lastPrinted>
  <dcterms:created xsi:type="dcterms:W3CDTF">2020-10-28T10:34:00Z</dcterms:created>
  <dcterms:modified xsi:type="dcterms:W3CDTF">2020-10-28T10:34:00Z</dcterms:modified>
</cp:coreProperties>
</file>