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B318DC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B318DC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E22441" w:rsidP="00E22441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uk-UA"/>
              </w:rPr>
              <w:t>27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EA747D">
              <w:rPr>
                <w:rFonts w:ascii="AcademyC" w:hAnsi="AcademyC"/>
                <w:noProof/>
                <w:color w:val="002060"/>
                <w:lang w:val="uk-UA"/>
              </w:rPr>
              <w:t>жовтня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E22441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EA747D">
              <w:rPr>
                <w:rFonts w:ascii="AcademyC" w:hAnsi="AcademyC"/>
                <w:noProof/>
                <w:color w:val="002060"/>
                <w:lang w:val="uk-UA"/>
              </w:rPr>
              <w:t>2</w:t>
            </w:r>
            <w:r w:rsidR="00E22441">
              <w:rPr>
                <w:rFonts w:ascii="AcademyC" w:hAnsi="AcademyC"/>
                <w:noProof/>
                <w:color w:val="002060"/>
                <w:lang w:val="uk-UA"/>
              </w:rPr>
              <w:t>952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811A7F" w:rsidRPr="00472D2A" w:rsidRDefault="00811A7F" w:rsidP="00811A7F">
      <w:pPr>
        <w:ind w:right="-2"/>
        <w:jc w:val="center"/>
        <w:rPr>
          <w:rFonts w:ascii="Times New Roman" w:hAnsi="Times New Roman"/>
          <w:b/>
          <w:color w:val="FFFFFF"/>
          <w:szCs w:val="28"/>
          <w:lang w:val="uk-UA"/>
        </w:rPr>
      </w:pPr>
      <w:r w:rsidRPr="00472D2A">
        <w:rPr>
          <w:rFonts w:ascii="Times New Roman" w:hAnsi="Times New Roman"/>
          <w:b/>
          <w:color w:val="FFFFFF"/>
          <w:lang w:val="uk-UA"/>
        </w:rPr>
        <w:t>РІШЕННЯ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794"/>
      </w:tblGrid>
      <w:tr w:rsidR="00811A7F" w:rsidTr="00E22587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811A7F" w:rsidRDefault="00811A7F" w:rsidP="00E22587">
            <w:pPr>
              <w:pStyle w:val="a3"/>
              <w:jc w:val="both"/>
              <w:rPr>
                <w:rStyle w:val="FontStyle15"/>
                <w:sz w:val="24"/>
                <w:szCs w:val="24"/>
              </w:rPr>
            </w:pPr>
            <w:r w:rsidRPr="00472D2A">
              <w:rPr>
                <w:rStyle w:val="FontStyle15"/>
                <w:sz w:val="24"/>
                <w:szCs w:val="24"/>
              </w:rPr>
              <w:t xml:space="preserve">Про </w:t>
            </w:r>
            <w:r>
              <w:rPr>
                <w:rStyle w:val="FontStyle15"/>
                <w:sz w:val="24"/>
                <w:szCs w:val="24"/>
              </w:rPr>
              <w:t>внесення Змін до</w:t>
            </w:r>
            <w:r w:rsidRPr="00472D2A">
              <w:rPr>
                <w:rStyle w:val="FontStyle15"/>
                <w:sz w:val="24"/>
                <w:szCs w:val="24"/>
              </w:rPr>
              <w:t xml:space="preserve"> штатного розпису Вищої ради правосуддя</w:t>
            </w:r>
            <w:r>
              <w:rPr>
                <w:rStyle w:val="FontStyle15"/>
                <w:sz w:val="24"/>
                <w:szCs w:val="24"/>
              </w:rPr>
              <w:t xml:space="preserve"> </w:t>
            </w:r>
            <w:r w:rsidRPr="00472D2A">
              <w:rPr>
                <w:rStyle w:val="FontStyle15"/>
                <w:sz w:val="24"/>
                <w:szCs w:val="24"/>
              </w:rPr>
              <w:t>на 20</w:t>
            </w:r>
            <w:r>
              <w:rPr>
                <w:rStyle w:val="FontStyle15"/>
                <w:sz w:val="24"/>
                <w:szCs w:val="24"/>
              </w:rPr>
              <w:t>20</w:t>
            </w:r>
            <w:r w:rsidRPr="00472D2A">
              <w:rPr>
                <w:rStyle w:val="FontStyle15"/>
                <w:sz w:val="24"/>
                <w:szCs w:val="24"/>
              </w:rPr>
              <w:t xml:space="preserve"> рік</w:t>
            </w:r>
          </w:p>
        </w:tc>
      </w:tr>
    </w:tbl>
    <w:p w:rsidR="00811A7F" w:rsidRDefault="00811A7F" w:rsidP="00811A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1A7F" w:rsidRPr="00472D2A" w:rsidRDefault="00811A7F" w:rsidP="00811A7F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 w:rsidRPr="00472D2A">
        <w:rPr>
          <w:rFonts w:ascii="Times New Roman" w:hAnsi="Times New Roman"/>
          <w:sz w:val="28"/>
          <w:szCs w:val="28"/>
          <w:lang w:val="uk-UA"/>
        </w:rPr>
        <w:t xml:space="preserve">Рішенням Вищої ради правосуддя від 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січ</w:t>
      </w:r>
      <w:r w:rsidRPr="00472D2A">
        <w:rPr>
          <w:rFonts w:ascii="Times New Roman" w:hAnsi="Times New Roman"/>
          <w:sz w:val="28"/>
          <w:szCs w:val="28"/>
          <w:lang w:val="uk-UA"/>
        </w:rPr>
        <w:t>ня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>
        <w:rPr>
          <w:rFonts w:ascii="Times New Roman" w:hAnsi="Times New Roman"/>
          <w:sz w:val="28"/>
          <w:szCs w:val="28"/>
          <w:lang w:val="uk-UA"/>
        </w:rPr>
        <w:t>170</w:t>
      </w:r>
      <w:r w:rsidRPr="00472D2A">
        <w:rPr>
          <w:rFonts w:ascii="Times New Roman" w:hAnsi="Times New Roman"/>
          <w:sz w:val="28"/>
          <w:szCs w:val="28"/>
          <w:lang w:val="uk-UA"/>
        </w:rPr>
        <w:t>/0/15-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затверджено штатний розпис Вищої ради правосуддя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811A7F" w:rsidRDefault="00811A7F" w:rsidP="00811A7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Схеми посадових окладів державних службовців Вищої ради правосуддя визначені постановою Кабінету Міністрів України від 24 травня 2017 року № 358 «Деякі питання </w:t>
      </w:r>
      <w:r w:rsidRPr="00F8048B">
        <w:rPr>
          <w:rFonts w:ascii="Times New Roman" w:hAnsi="Times New Roman"/>
          <w:sz w:val="28"/>
          <w:szCs w:val="28"/>
          <w:lang w:val="uk-UA"/>
        </w:rPr>
        <w:t>оплати праці державних службовців судів, органів та установ системи правосуддя</w:t>
      </w:r>
      <w:r>
        <w:rPr>
          <w:rFonts w:ascii="Times New Roman" w:hAnsi="Times New Roman"/>
          <w:sz w:val="28"/>
          <w:szCs w:val="28"/>
          <w:lang w:val="uk-UA"/>
        </w:rPr>
        <w:t>» (зі змінами). Посадовий оклад державного службовця визначається шляхом множення двох розмірів прожиткового мінімуму для працездатних осіб, установленого законом на 1 січня 2020 року, на відповідний коефіцієнт.</w:t>
      </w:r>
    </w:p>
    <w:p w:rsidR="00811A7F" w:rsidRDefault="00811A7F" w:rsidP="00811A7F">
      <w:pPr>
        <w:spacing w:line="326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Прожитковий мінімум для працездатних осіб визначається статтею 7 Закону України «Про Державний бюджет України на 2020 рік» і змінюється три рази на рік – 1 січня, 1 липня та 1 грудня.</w:t>
      </w:r>
    </w:p>
    <w:p w:rsidR="00811A7F" w:rsidRDefault="00811A7F" w:rsidP="00811A7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Постановою </w:t>
      </w:r>
      <w:r w:rsidRPr="00561179">
        <w:rPr>
          <w:rFonts w:ascii="Times New Roman" w:hAnsi="Times New Roman"/>
          <w:sz w:val="28"/>
          <w:szCs w:val="28"/>
          <w:lang w:val="uk-UA"/>
        </w:rPr>
        <w:t>Кабінет</w:t>
      </w:r>
      <w:r>
        <w:rPr>
          <w:rFonts w:ascii="Times New Roman" w:hAnsi="Times New Roman"/>
          <w:sz w:val="28"/>
          <w:szCs w:val="28"/>
          <w:lang w:val="uk-UA"/>
        </w:rPr>
        <w:t>у Міністрів України від 9 жовтня 2020 року</w:t>
      </w:r>
      <w:r w:rsidRPr="00561179">
        <w:rPr>
          <w:rFonts w:ascii="Times New Roman" w:hAnsi="Times New Roman"/>
          <w:sz w:val="28"/>
          <w:szCs w:val="28"/>
          <w:lang w:val="uk-UA"/>
        </w:rPr>
        <w:t xml:space="preserve"> № </w:t>
      </w:r>
      <w:r>
        <w:rPr>
          <w:rFonts w:ascii="Times New Roman" w:hAnsi="Times New Roman"/>
          <w:sz w:val="28"/>
          <w:szCs w:val="28"/>
          <w:lang w:val="uk-UA"/>
        </w:rPr>
        <w:t>940</w:t>
      </w:r>
      <w:r w:rsidRPr="0056117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561179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Про внесення змін до 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деяких актів Кабінету Міністрів України» </w:t>
      </w:r>
      <w:r w:rsidRPr="00561179">
        <w:rPr>
          <w:rFonts w:ascii="Times New Roman" w:hAnsi="Times New Roman"/>
          <w:sz w:val="28"/>
          <w:szCs w:val="28"/>
          <w:lang w:val="uk-UA"/>
        </w:rPr>
        <w:t>(далі – Постанова</w:t>
      </w:r>
      <w:r>
        <w:rPr>
          <w:rFonts w:ascii="Times New Roman" w:hAnsi="Times New Roman"/>
          <w:sz w:val="28"/>
          <w:szCs w:val="28"/>
          <w:lang w:val="uk-UA"/>
        </w:rPr>
        <w:t xml:space="preserve"> № 940</w:t>
      </w:r>
      <w:r w:rsidRPr="00561179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що набрала чинності 16 жовтня 2020 року, серед іншого,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внесено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у </w:t>
      </w:r>
      <w:r w:rsidRPr="00235B5A">
        <w:rPr>
          <w:rFonts w:ascii="Times New Roman" w:hAnsi="Times New Roman"/>
          <w:sz w:val="28"/>
          <w:szCs w:val="28"/>
          <w:lang w:val="uk-UA"/>
        </w:rPr>
        <w:t>пункт 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5B5A">
        <w:rPr>
          <w:rFonts w:ascii="Times New Roman" w:hAnsi="Times New Roman"/>
          <w:sz w:val="28"/>
          <w:szCs w:val="28"/>
          <w:lang w:val="uk-UA"/>
        </w:rPr>
        <w:t xml:space="preserve">приміток до схеми посадових окладів із визначенням коефіцієнтів для державних службовців судів, органів та установ системи правосуддя з урахуванням категорій, </w:t>
      </w:r>
      <w:proofErr w:type="spellStart"/>
      <w:r w:rsidRPr="00235B5A">
        <w:rPr>
          <w:rFonts w:ascii="Times New Roman" w:hAnsi="Times New Roman"/>
          <w:sz w:val="28"/>
          <w:szCs w:val="28"/>
          <w:lang w:val="uk-UA"/>
        </w:rPr>
        <w:t>підкатегорій</w:t>
      </w:r>
      <w:proofErr w:type="spellEnd"/>
      <w:r w:rsidRPr="00235B5A">
        <w:rPr>
          <w:rFonts w:ascii="Times New Roman" w:hAnsi="Times New Roman"/>
          <w:sz w:val="28"/>
          <w:szCs w:val="28"/>
          <w:lang w:val="uk-UA"/>
        </w:rPr>
        <w:t xml:space="preserve"> та рівнів державних органів, затвердженої постановою </w:t>
      </w:r>
      <w:r w:rsidRPr="00C447BD">
        <w:rPr>
          <w:rFonts w:ascii="Times New Roman" w:hAnsi="Times New Roman"/>
          <w:sz w:val="28"/>
          <w:szCs w:val="28"/>
          <w:lang w:val="uk-UA"/>
        </w:rPr>
        <w:t>Кабінету Міністрів України від 24</w:t>
      </w:r>
      <w:r>
        <w:rPr>
          <w:rFonts w:ascii="Times New Roman" w:hAnsi="Times New Roman"/>
          <w:sz w:val="28"/>
          <w:szCs w:val="28"/>
        </w:rPr>
        <w:t> </w:t>
      </w:r>
      <w:r w:rsidRPr="00C447BD">
        <w:rPr>
          <w:rFonts w:ascii="Times New Roman" w:hAnsi="Times New Roman"/>
          <w:sz w:val="28"/>
          <w:szCs w:val="28"/>
          <w:lang w:val="uk-UA"/>
        </w:rPr>
        <w:t>травня 2017 р</w:t>
      </w:r>
      <w:r>
        <w:rPr>
          <w:rFonts w:ascii="Times New Roman" w:hAnsi="Times New Roman"/>
          <w:sz w:val="28"/>
          <w:szCs w:val="28"/>
          <w:lang w:val="uk-UA"/>
        </w:rPr>
        <w:t>оку</w:t>
      </w:r>
      <w:r w:rsidRPr="00C447BD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447BD">
        <w:rPr>
          <w:rFonts w:ascii="Times New Roman" w:hAnsi="Times New Roman"/>
          <w:sz w:val="28"/>
          <w:szCs w:val="28"/>
          <w:lang w:val="uk-UA"/>
        </w:rPr>
        <w:t xml:space="preserve">358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47BD">
        <w:rPr>
          <w:rFonts w:ascii="Times New Roman" w:hAnsi="Times New Roman"/>
          <w:sz w:val="28"/>
          <w:szCs w:val="28"/>
          <w:lang w:val="uk-UA"/>
        </w:rPr>
        <w:t>Деякі питання оплати праці державних службовців судів, органів та установ системи правосуддя</w:t>
      </w:r>
      <w:r>
        <w:rPr>
          <w:rFonts w:ascii="Times New Roman" w:hAnsi="Times New Roman"/>
          <w:sz w:val="28"/>
          <w:szCs w:val="28"/>
          <w:lang w:val="uk-UA"/>
        </w:rPr>
        <w:t xml:space="preserve">», а саме: </w:t>
      </w:r>
      <w:r w:rsidRPr="00C447BD">
        <w:rPr>
          <w:rFonts w:ascii="Times New Roman" w:hAnsi="Times New Roman"/>
          <w:sz w:val="28"/>
          <w:szCs w:val="28"/>
          <w:lang w:val="uk-UA"/>
        </w:rPr>
        <w:t xml:space="preserve">слова і цифри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47BD">
        <w:rPr>
          <w:rFonts w:ascii="Times New Roman" w:hAnsi="Times New Roman"/>
          <w:sz w:val="28"/>
          <w:szCs w:val="28"/>
          <w:lang w:val="uk-UA"/>
        </w:rPr>
        <w:t>законом на 1 січня 2020 р.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447BD">
        <w:rPr>
          <w:rFonts w:ascii="Times New Roman" w:hAnsi="Times New Roman"/>
          <w:sz w:val="28"/>
          <w:szCs w:val="28"/>
          <w:lang w:val="uk-UA"/>
        </w:rPr>
        <w:t xml:space="preserve"> замін</w:t>
      </w:r>
      <w:r>
        <w:rPr>
          <w:rFonts w:ascii="Times New Roman" w:hAnsi="Times New Roman"/>
          <w:sz w:val="28"/>
          <w:szCs w:val="28"/>
          <w:lang w:val="uk-UA"/>
        </w:rPr>
        <w:t>ено</w:t>
      </w:r>
      <w:r w:rsidRPr="00C447BD">
        <w:rPr>
          <w:rFonts w:ascii="Times New Roman" w:hAnsi="Times New Roman"/>
          <w:sz w:val="28"/>
          <w:szCs w:val="28"/>
          <w:lang w:val="uk-UA"/>
        </w:rPr>
        <w:t xml:space="preserve"> словами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447BD">
        <w:rPr>
          <w:rFonts w:ascii="Times New Roman" w:hAnsi="Times New Roman"/>
          <w:sz w:val="28"/>
          <w:szCs w:val="28"/>
          <w:lang w:val="uk-UA"/>
        </w:rPr>
        <w:t>законом про Державний бюджет України на відповідний рік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447BD">
        <w:rPr>
          <w:rFonts w:ascii="Times New Roman" w:hAnsi="Times New Roman"/>
          <w:sz w:val="28"/>
          <w:szCs w:val="28"/>
          <w:lang w:val="uk-UA"/>
        </w:rPr>
        <w:t>.</w:t>
      </w:r>
    </w:p>
    <w:p w:rsidR="00811A7F" w:rsidRDefault="00811A7F" w:rsidP="00811A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Абзацом четвертим пункту 2 Постанови № 940 визначено, що зміни до </w:t>
      </w:r>
      <w:r w:rsidRPr="00235B5A">
        <w:rPr>
          <w:rFonts w:ascii="Times New Roman" w:hAnsi="Times New Roman"/>
          <w:sz w:val="28"/>
          <w:szCs w:val="28"/>
          <w:lang w:val="uk-UA"/>
        </w:rPr>
        <w:t>пункт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35B5A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5B5A">
        <w:rPr>
          <w:rFonts w:ascii="Times New Roman" w:hAnsi="Times New Roman"/>
          <w:sz w:val="28"/>
          <w:szCs w:val="28"/>
          <w:lang w:val="uk-UA"/>
        </w:rPr>
        <w:t xml:space="preserve">приміток до схеми посадових окладів із визначенням коефіцієнтів для державних службовців судів, органів та установ системи правосуддя з урахуванням категорій, </w:t>
      </w:r>
      <w:proofErr w:type="spellStart"/>
      <w:r w:rsidRPr="00235B5A">
        <w:rPr>
          <w:rFonts w:ascii="Times New Roman" w:hAnsi="Times New Roman"/>
          <w:sz w:val="28"/>
          <w:szCs w:val="28"/>
          <w:lang w:val="uk-UA"/>
        </w:rPr>
        <w:t>підкатегорій</w:t>
      </w:r>
      <w:proofErr w:type="spellEnd"/>
      <w:r w:rsidRPr="00235B5A">
        <w:rPr>
          <w:rFonts w:ascii="Times New Roman" w:hAnsi="Times New Roman"/>
          <w:sz w:val="28"/>
          <w:szCs w:val="28"/>
          <w:lang w:val="uk-UA"/>
        </w:rPr>
        <w:t xml:space="preserve"> та рівнів державних 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застосовуються з 1 липня 2020 року.</w:t>
      </w:r>
    </w:p>
    <w:p w:rsidR="00811A7F" w:rsidRDefault="00811A7F" w:rsidP="00811A7F">
      <w:pPr>
        <w:spacing w:line="326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 та з метою приведення штатного розпису Вищої ради правосуддя у відповідність із вказаними положеннями законодавства, керуючись Законом України «Про Вищу раду правосуддя», 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Вища рада правосуддя </w:t>
      </w:r>
    </w:p>
    <w:p w:rsidR="00811A7F" w:rsidRPr="00472D2A" w:rsidRDefault="00811A7F" w:rsidP="00811A7F">
      <w:pPr>
        <w:spacing w:line="326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1A7F" w:rsidRPr="00472D2A" w:rsidRDefault="00811A7F" w:rsidP="00811A7F">
      <w:pPr>
        <w:spacing w:line="326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1A7F" w:rsidRPr="00CB68BF" w:rsidRDefault="00811A7F" w:rsidP="00811A7F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  <w:r w:rsidRPr="00CB68BF">
        <w:rPr>
          <w:rStyle w:val="FontStyle16"/>
          <w:b/>
          <w:sz w:val="28"/>
          <w:szCs w:val="28"/>
          <w:lang w:val="uk-UA" w:eastAsia="uk-UA"/>
        </w:rPr>
        <w:lastRenderedPageBreak/>
        <w:t>вирішила:</w:t>
      </w:r>
    </w:p>
    <w:p w:rsidR="00811A7F" w:rsidRPr="00CB68BF" w:rsidRDefault="00811A7F" w:rsidP="00811A7F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</w:p>
    <w:p w:rsidR="00811A7F" w:rsidRPr="00CB68BF" w:rsidRDefault="00811A7F" w:rsidP="00811A7F">
      <w:pPr>
        <w:spacing w:line="326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CB68BF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/>
          <w:sz w:val="28"/>
          <w:szCs w:val="28"/>
          <w:lang w:val="uk-UA"/>
        </w:rPr>
        <w:t>Зміни до штатного розпису Вищої ради правосуддя на 2020 рік в частині посадових окладів державних службовців</w:t>
      </w:r>
      <w:r w:rsidRPr="00CB68BF">
        <w:rPr>
          <w:rFonts w:ascii="Times New Roman" w:hAnsi="Times New Roman"/>
          <w:sz w:val="28"/>
          <w:szCs w:val="28"/>
          <w:lang w:val="uk-UA"/>
        </w:rPr>
        <w:t>, що дода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CB68BF">
        <w:rPr>
          <w:rFonts w:ascii="Times New Roman" w:hAnsi="Times New Roman"/>
          <w:sz w:val="28"/>
          <w:szCs w:val="28"/>
          <w:lang w:val="uk-UA"/>
        </w:rPr>
        <w:t>ться</w:t>
      </w:r>
      <w:r>
        <w:rPr>
          <w:rFonts w:ascii="Times New Roman" w:hAnsi="Times New Roman"/>
          <w:sz w:val="28"/>
          <w:szCs w:val="28"/>
          <w:lang w:val="uk-UA"/>
        </w:rPr>
        <w:t>, застосувавши їх з 1 липня 2020 року.</w:t>
      </w:r>
    </w:p>
    <w:p w:rsidR="00811A7F" w:rsidRPr="00CB68BF" w:rsidRDefault="00811A7F" w:rsidP="00811A7F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</w:p>
    <w:p w:rsidR="00811A7F" w:rsidRDefault="00811A7F" w:rsidP="00811A7F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</w:p>
    <w:p w:rsidR="00811A7F" w:rsidRPr="00CB68BF" w:rsidRDefault="00811A7F" w:rsidP="00811A7F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</w:p>
    <w:p w:rsidR="00811A7F" w:rsidRPr="00CB68BF" w:rsidRDefault="00811A7F" w:rsidP="00811A7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B68BF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Овсієнко</w:t>
      </w:r>
      <w:proofErr w:type="spellEnd"/>
    </w:p>
    <w:p w:rsidR="00EA747D" w:rsidRPr="00CD1788" w:rsidRDefault="00EA747D" w:rsidP="00811A7F">
      <w:pPr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EA747D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A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1A7F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0DDE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2441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A747D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5D0226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5BDAE-A8C1-4D6D-BC47-C9FDBB57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3</cp:revision>
  <cp:lastPrinted>2020-03-17T08:54:00Z</cp:lastPrinted>
  <dcterms:created xsi:type="dcterms:W3CDTF">2020-10-28T14:24:00Z</dcterms:created>
  <dcterms:modified xsi:type="dcterms:W3CDTF">2020-10-28T14:25:00Z</dcterms:modified>
</cp:coreProperties>
</file>