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CF" w:rsidRDefault="00D26ACF" w:rsidP="00D26ACF">
      <w:pPr>
        <w:autoSpaceDN w:val="0"/>
        <w:spacing w:after="200" w:line="276" w:lineRule="auto"/>
        <w:contextualSpacing/>
        <w:jc w:val="both"/>
        <w:rPr>
          <w:sz w:val="27"/>
          <w:szCs w:val="27"/>
          <w:lang w:val="en-US"/>
        </w:rPr>
      </w:pPr>
    </w:p>
    <w:p w:rsidR="00D26ACF" w:rsidRDefault="00D26ACF" w:rsidP="00D26ACF">
      <w:pPr>
        <w:autoSpaceDN w:val="0"/>
        <w:spacing w:after="200" w:line="276" w:lineRule="auto"/>
        <w:contextualSpacing/>
        <w:jc w:val="both"/>
        <w:rPr>
          <w:sz w:val="27"/>
          <w:szCs w:val="27"/>
          <w:lang w:val="en-US"/>
        </w:rPr>
      </w:pPr>
    </w:p>
    <w:p w:rsidR="00D26ACF" w:rsidRDefault="00D26ACF" w:rsidP="00D26ACF">
      <w:pPr>
        <w:autoSpaceDN w:val="0"/>
        <w:spacing w:after="200" w:line="276" w:lineRule="auto"/>
        <w:contextualSpacing/>
        <w:jc w:val="both"/>
        <w:rPr>
          <w:sz w:val="27"/>
          <w:szCs w:val="27"/>
          <w:lang w:val="en-US"/>
        </w:rPr>
      </w:pPr>
    </w:p>
    <w:p w:rsidR="00D26ACF" w:rsidRDefault="00D26ACF" w:rsidP="00D26ACF">
      <w:pPr>
        <w:spacing w:before="360"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0000"/>
          <w:sz w:val="27"/>
          <w:szCs w:val="27"/>
        </w:rPr>
        <w:t>УКРАЇНА</w:t>
      </w:r>
    </w:p>
    <w:p w:rsidR="00D26ACF" w:rsidRDefault="00D26ACF" w:rsidP="00D26ACF">
      <w:pPr>
        <w:spacing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rFonts w:ascii="AcademyC" w:hAnsi="AcademyC"/>
          <w:b/>
          <w:color w:val="000000"/>
          <w:sz w:val="27"/>
          <w:szCs w:val="27"/>
        </w:rPr>
        <w:t>ВИЩА  РАДА  ПРАВОСУДДЯ</w:t>
      </w:r>
    </w:p>
    <w:p w:rsidR="00D26ACF" w:rsidRDefault="00D26ACF" w:rsidP="00D26ACF">
      <w:pPr>
        <w:spacing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rFonts w:ascii="AcademyC" w:hAnsi="AcademyC"/>
          <w:b/>
          <w:color w:val="000000"/>
          <w:sz w:val="27"/>
          <w:szCs w:val="27"/>
        </w:rPr>
        <w:t xml:space="preserve"> ПЕРША ДИСЦИПЛІНАРНА ПАЛАТА</w:t>
      </w:r>
    </w:p>
    <w:p w:rsidR="00D26ACF" w:rsidRDefault="00D26ACF" w:rsidP="00D26ACF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  <w:r>
        <w:rPr>
          <w:rFonts w:ascii="AcademyC" w:hAnsi="AcademyC"/>
          <w:b/>
          <w:sz w:val="27"/>
          <w:szCs w:val="27"/>
        </w:rPr>
        <w:t>УХВАЛА</w:t>
      </w:r>
    </w:p>
    <w:p w:rsidR="00D26ACF" w:rsidRDefault="00D26ACF" w:rsidP="00D26ACF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</w:p>
    <w:p w:rsidR="00D26ACF" w:rsidRDefault="00D26ACF" w:rsidP="00D26ACF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</w:p>
    <w:tbl>
      <w:tblPr>
        <w:tblW w:w="10619" w:type="dxa"/>
        <w:tblLook w:val="04A0" w:firstRow="1" w:lastRow="0" w:firstColumn="1" w:lastColumn="0" w:noHBand="0" w:noVBand="1"/>
      </w:tblPr>
      <w:tblGrid>
        <w:gridCol w:w="3686"/>
        <w:gridCol w:w="3309"/>
        <w:gridCol w:w="3624"/>
      </w:tblGrid>
      <w:tr w:rsidR="00D26ACF" w:rsidRPr="00D26ACF" w:rsidTr="00D26ACF">
        <w:trPr>
          <w:trHeight w:val="188"/>
        </w:trPr>
        <w:tc>
          <w:tcPr>
            <w:tcW w:w="3686" w:type="dxa"/>
            <w:hideMark/>
          </w:tcPr>
          <w:p w:rsidR="00D26ACF" w:rsidRPr="00D26ACF" w:rsidRDefault="00D26ACF">
            <w:pPr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D26ACF">
              <w:rPr>
                <w:rFonts w:ascii="Book Antiqua" w:hAnsi="Book Antiqua"/>
                <w:b/>
                <w:noProof/>
                <w:sz w:val="28"/>
                <w:szCs w:val="28"/>
              </w:rPr>
              <w:t>6 листопада</w:t>
            </w:r>
            <w:r w:rsidRPr="00D26ACF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D26ACF" w:rsidRPr="00D26ACF" w:rsidRDefault="00D26ACF" w:rsidP="00D26ACF">
            <w:pPr>
              <w:tabs>
                <w:tab w:val="left" w:pos="1155"/>
              </w:tabs>
              <w:spacing w:after="200" w:line="276" w:lineRule="auto"/>
              <w:ind w:left="480" w:right="-2" w:hanging="480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Pr="00D26ACF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D26ACF" w:rsidRPr="00D26ACF" w:rsidRDefault="00D26ACF" w:rsidP="00D26ACF">
            <w:pPr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D26ACF">
              <w:rPr>
                <w:rFonts w:ascii="Book Antiqua" w:hAnsi="Book Antiqua"/>
                <w:b/>
                <w:sz w:val="28"/>
                <w:szCs w:val="28"/>
              </w:rPr>
              <w:t>№ 3047</w:t>
            </w:r>
            <w:r w:rsidRPr="00D26ACF">
              <w:rPr>
                <w:rFonts w:ascii="Book Antiqua" w:hAnsi="Book Antiqua"/>
                <w:b/>
                <w:sz w:val="28"/>
                <w:szCs w:val="28"/>
              </w:rPr>
              <w:t>/1дп/15-20</w:t>
            </w:r>
          </w:p>
        </w:tc>
      </w:tr>
    </w:tbl>
    <w:p w:rsidR="00D26ACF" w:rsidRPr="00D26ACF" w:rsidRDefault="00D26ACF" w:rsidP="00D26ACF">
      <w:pPr>
        <w:tabs>
          <w:tab w:val="left" w:pos="9540"/>
        </w:tabs>
        <w:autoSpaceDN w:val="0"/>
        <w:spacing w:after="0" w:line="240" w:lineRule="auto"/>
        <w:jc w:val="both"/>
        <w:rPr>
          <w:rFonts w:ascii="Book Antiqua" w:hAnsi="Book Antiqua"/>
          <w:b/>
          <w:bCs/>
          <w:color w:val="FFFFFF"/>
          <w:sz w:val="28"/>
          <w:szCs w:val="28"/>
        </w:rPr>
      </w:pPr>
      <w:r w:rsidRPr="00D26ACF">
        <w:rPr>
          <w:rFonts w:ascii="Book Antiqua" w:hAnsi="Book Antiqua"/>
          <w:b/>
          <w:bCs/>
          <w:color w:val="FFFFFF"/>
          <w:sz w:val="28"/>
          <w:szCs w:val="28"/>
        </w:rPr>
        <w:t>____                   № ____________________</w:t>
      </w:r>
    </w:p>
    <w:tbl>
      <w:tblPr>
        <w:tblW w:w="89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  <w:gridCol w:w="4111"/>
      </w:tblGrid>
      <w:tr w:rsidR="00D26ACF" w:rsidTr="00D26ACF">
        <w:trPr>
          <w:trHeight w:val="858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6ACF" w:rsidRDefault="00D26ACF">
            <w:pPr>
              <w:widowControl w:val="0"/>
              <w:spacing w:after="0" w:line="240" w:lineRule="auto"/>
              <w:ind w:right="-10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 відмову у відкритті дисциплінарної справи стосовно суддів Касаційного господарського суду у складі Верховного Суду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Дроботової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Т.Б., Краснова Є.В.,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Сухового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В.Г., Приморського районного суду міста Одеси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Чернявської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Л.М., Малиновського районного суду міста Одеси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Старікова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О.О.,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Червонозаводського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районного суду міста Харкова  Єжова В.А., Яворівського районного суду Львівської області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Кондратьєвої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Н.А., Індустріального районного суду міста Дніпропетровська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Шофаренка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Ю.Ф.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26ACF" w:rsidRDefault="00D26A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</w:pPr>
          </w:p>
        </w:tc>
      </w:tr>
      <w:tr w:rsidR="00D26ACF" w:rsidTr="00D26ACF">
        <w:trPr>
          <w:trHeight w:val="858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D26ACF" w:rsidRDefault="00D26AC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26ACF" w:rsidRDefault="00D26ACF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  <w:u w:val="single"/>
              </w:rPr>
            </w:pPr>
          </w:p>
        </w:tc>
      </w:tr>
    </w:tbl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      головуючого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Маловацького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О.В., членів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Краснощокової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Н.С.,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Розваляєвої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Т.С., Шелест С.Б., розглянувши висновки доповідача – члена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за результатами попередньої перевірки скарг, 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6ACF" w:rsidRDefault="00D26ACF" w:rsidP="00D26ACF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22 вересня 2020 року надійшла дисциплінарна скарга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Приватного акціонерного товариства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елеватор», подана адвокатом Савенком О.О., </w:t>
      </w:r>
      <w:r>
        <w:rPr>
          <w:rFonts w:ascii="Times New Roman" w:hAnsi="Times New Roman" w:cs="Times New Roman"/>
          <w:bCs/>
          <w:sz w:val="28"/>
          <w:szCs w:val="28"/>
        </w:rPr>
        <w:t xml:space="preserve"> від 17  вересня 2020 року (єдиний унікальний номер 679/0/13-20) на дії суддів Касаційного господарського суду у складі Верховного Суду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Дроботової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Т.Б., Краснова Є.В.,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Сухового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В.Г. під час здійснення правосуддя у справі № 908/845/19.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дисциплінарної справи, </w:t>
      </w:r>
      <w:r>
        <w:rPr>
          <w:rFonts w:ascii="Times New Roman" w:hAnsi="Times New Roman" w:cs="Times New Roman"/>
          <w:sz w:val="28"/>
          <w:szCs w:val="28"/>
        </w:rPr>
        <w:t>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D26ACF" w:rsidRDefault="00D26ACF" w:rsidP="00D26ACF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21 вересня 2020 року надійшла дисциплінарна скарга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Осьмінкіна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С.М. від 18 вересня 2020 року (єдиний унікальний номер О-5153/0/7-20) на дії судді Приморського районного суду міста Одеси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Чернявської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Л.М. під час здійснення правосуддя у справі                                № 522/11485/20.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D26ACF" w:rsidRDefault="00D26ACF" w:rsidP="00D26ACF">
      <w:pPr>
        <w:widowControl w:val="0"/>
        <w:autoSpaceDN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 Вищої ради правосуддя 22 вересня 2020 року надійшла дисциплінарна скарга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Бальона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В.Н. від 15 вересня 2020 року (єдиний унікальний номер Б-5191/0/7-20) на дії судді Малиновського районного суду міста Одеси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Старікова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О.О. під час здійснення правосуддя у справі № 521/12857/14-к.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</w:t>
      </w:r>
      <w:r>
        <w:rPr>
          <w:rFonts w:ascii="Times New Roman" w:hAnsi="Times New Roman" w:cs="Times New Roman"/>
          <w:sz w:val="28"/>
          <w:szCs w:val="28"/>
        </w:rPr>
        <w:t>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D26ACF" w:rsidRDefault="00D26ACF" w:rsidP="00D26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До Вищої ради правосуддя 14 вересня 2020 року надійшла дисциплінарна скарга Білоконь Т.Ю. від 10 вересня 2020 року (єдиний унікальний номер Б-5058/0/7-20) на дії судді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Червонозаводського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суду міста Харкова Єжова В.А. під час здійснення правосуддя у справі                                          № 646/11915/16-ц. 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D26ACF" w:rsidRDefault="00D26ACF" w:rsidP="00D26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До Вищої ради правосуддя 24 вересня 2020 року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Дукачовського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С.І. від 10 серпня 2020 року (єдиний унікальний номер Д-5249/0/7-20) на дії судді Яворівського районного суду Львівської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Кондратьєвої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 під час здійснення правосуддя у справі                                          № 944/548/20. 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судовим рішенням (пункт 4 частини першої статті 45 Закону України «Про Вищу раду правосуддя»).</w:t>
      </w:r>
    </w:p>
    <w:p w:rsidR="00D26ACF" w:rsidRDefault="00D26ACF" w:rsidP="00D26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До Вищої ради правосуддя 10 вересня 2020 року надійшла дисциплінарна скарга Бородіна В.В. від 8 вересня 2020 року (єдиний унікальний номер 135/0/5-20) на дії судді Індустріального районного суду міста Дніпропетровська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Шофаренка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Ю.Ф. під час здійснення правосуддя у справах                                         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202/2486/17, № 202/4184/18, № 202/4194/19, № 202/8103/19, № 202/3713/17. 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bCs/>
          <w:sz w:val="28"/>
          <w:szCs w:val="28"/>
        </w:rPr>
        <w:t>судовими рішеннями (пункт 4 частини першої статті 45 Закону України «Про Вищу раду правосуддя»).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Відповідно до пункту 4 частини першої статті 45 Закону України                     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 висновку про відмову у відкритті дисциплінарних справ стосовно зазначених у скаргах суддів.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правосуддя,</w:t>
      </w:r>
    </w:p>
    <w:p w:rsidR="00D26ACF" w:rsidRDefault="00D26ACF" w:rsidP="00D26AC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26ACF" w:rsidRDefault="00D26ACF" w:rsidP="00D26AC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26ACF" w:rsidRDefault="00D26ACF" w:rsidP="00D26AC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D26ACF" w:rsidRDefault="00D26ACF" w:rsidP="00D26ACF">
      <w:pPr>
        <w:spacing w:after="0" w:line="100" w:lineRule="atLeast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відмовити у відкритті дисциплінарної справи за скаргою Приватного акціонерного товариства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елеватор», поданою адвокатом Савенком Олексієм Олександровичем, стосовно суддів Касаційного господарського суду у складі Верховного Суду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Дроботової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Борисівни, Краснова Єгора Володимировича,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Валерія Григоровича;</w:t>
      </w:r>
    </w:p>
    <w:p w:rsidR="00D26ACF" w:rsidRDefault="00D26ACF" w:rsidP="00D26ACF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Осьмінкіна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Сергія Миколайовича стосовно судді Приморського районного суду міста Одеси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Чернявської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Лариси Миколаївни</w:t>
      </w:r>
      <w:r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  <w:t>;</w:t>
      </w:r>
    </w:p>
    <w:p w:rsidR="00D26ACF" w:rsidRDefault="00D26ACF" w:rsidP="00D26ACF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відмовити у відкритті дисциплінарної справи за скаргою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Бальона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Володимира Назаровича стосовно судді Малиновського районного суду міста Одеси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Старікова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Олексія Олександровича</w:t>
      </w:r>
      <w:r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  <w:t>;</w:t>
      </w:r>
    </w:p>
    <w:p w:rsidR="00D26ACF" w:rsidRDefault="00D26ACF" w:rsidP="00D26ACF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відмовити у відкритті дисциплінарної справи за скаргою Білоконь Тетяни Юріївни стосовно судді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Червонозаводського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районного суду міста Харкова Єжова Віктора Анатолійовича;</w:t>
      </w:r>
    </w:p>
    <w:p w:rsidR="00D26ACF" w:rsidRDefault="00D26ACF" w:rsidP="00D26ACF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відмовити у відкритті дисциплінарної справи за скаргою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Дукачовського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Степана Івановича стосовно судді Яворівського районного суду Львівської області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Кондратьєвої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Наталії Анатоліївни.</w:t>
      </w:r>
    </w:p>
    <w:p w:rsidR="00D26ACF" w:rsidRDefault="00D26ACF" w:rsidP="00D26ACF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відмовити у відкритті дисциплінарної справи за скаргою Бородіна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lastRenderedPageBreak/>
        <w:t xml:space="preserve">Владислава Валерійовича стосовно судді Індустріального районного суду міста Дніпропетровська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Шофаренка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Юрія Федоровича.</w:t>
      </w:r>
    </w:p>
    <w:p w:rsidR="00D26ACF" w:rsidRDefault="00D26ACF" w:rsidP="00D26ACF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</w:pPr>
    </w:p>
    <w:p w:rsidR="00D26ACF" w:rsidRDefault="00D26ACF" w:rsidP="00D26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Ухвала оскарженню не підлягає. </w:t>
      </w:r>
    </w:p>
    <w:p w:rsidR="00D26ACF" w:rsidRDefault="00D26ACF" w:rsidP="00D26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на засіданні </w:t>
      </w: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Першої Дисциплінарної </w:t>
      </w: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О.В.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Маловацький</w:t>
      </w:r>
      <w:proofErr w:type="spellEnd"/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Члени Першої Дисциплінарної</w:t>
      </w: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Н.С.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Краснощокова</w:t>
      </w:r>
      <w:proofErr w:type="spellEnd"/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Т.С.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Розваляєва</w:t>
      </w:r>
      <w:proofErr w:type="spellEnd"/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6ACF" w:rsidRDefault="00D26ACF" w:rsidP="00D26AC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С.Б. Шелест</w:t>
      </w: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26ACF" w:rsidRDefault="00D26ACF" w:rsidP="00D26A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D26ACF" w:rsidSect="00D26ACF">
      <w:headerReference w:type="default" r:id="rId7"/>
      <w:pgSz w:w="11906" w:h="16838"/>
      <w:pgMar w:top="850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9D5" w:rsidRDefault="00C419D5" w:rsidP="00D26ACF">
      <w:pPr>
        <w:spacing w:after="0" w:line="240" w:lineRule="auto"/>
      </w:pPr>
      <w:r>
        <w:separator/>
      </w:r>
    </w:p>
  </w:endnote>
  <w:endnote w:type="continuationSeparator" w:id="0">
    <w:p w:rsidR="00C419D5" w:rsidRDefault="00C419D5" w:rsidP="00D26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9D5" w:rsidRDefault="00C419D5" w:rsidP="00D26ACF">
      <w:pPr>
        <w:spacing w:after="0" w:line="240" w:lineRule="auto"/>
      </w:pPr>
      <w:r>
        <w:separator/>
      </w:r>
    </w:p>
  </w:footnote>
  <w:footnote w:type="continuationSeparator" w:id="0">
    <w:p w:rsidR="00C419D5" w:rsidRDefault="00C419D5" w:rsidP="00D26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0359"/>
      <w:docPartObj>
        <w:docPartGallery w:val="Page Numbers (Top of Page)"/>
        <w:docPartUnique/>
      </w:docPartObj>
    </w:sdtPr>
    <w:sdtContent>
      <w:p w:rsidR="00D26ACF" w:rsidRDefault="00D26A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26ACF" w:rsidRDefault="00D26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ACF"/>
    <w:rsid w:val="00BB6A7D"/>
    <w:rsid w:val="00C419D5"/>
    <w:rsid w:val="00D2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F371"/>
  <w15:chartTrackingRefBased/>
  <w15:docId w15:val="{F19A25B3-B1FF-458A-A2FF-B608FC22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AC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D26AC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6ACF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D26A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26ACF"/>
  </w:style>
  <w:style w:type="paragraph" w:styleId="a5">
    <w:name w:val="footer"/>
    <w:basedOn w:val="a"/>
    <w:link w:val="a6"/>
    <w:uiPriority w:val="99"/>
    <w:unhideWhenUsed/>
    <w:rsid w:val="00D26A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26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9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4884</Words>
  <Characters>2784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2020-11-11T09:21:00Z</dcterms:created>
  <dcterms:modified xsi:type="dcterms:W3CDTF">2020-11-11T09:23:00Z</dcterms:modified>
</cp:coreProperties>
</file>