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AB" w:rsidRDefault="0091205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29AB" w:rsidRDefault="005E29AB">
      <w:pPr>
        <w:jc w:val="center"/>
        <w:rPr>
          <w:rFonts w:ascii="AcademyC" w:hAnsi="AcademyC"/>
          <w:b/>
          <w:color w:val="000000"/>
          <w:lang w:val="uk-UA"/>
        </w:rPr>
      </w:pPr>
    </w:p>
    <w:p w:rsidR="005E29AB" w:rsidRDefault="0091205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5E29AB" w:rsidRDefault="0091205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5E29AB" w:rsidRDefault="0091205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5E29AB" w:rsidRDefault="00912059">
      <w:pPr>
        <w:pStyle w:val="ae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5E29AB" w:rsidRDefault="005E29AB">
      <w:pPr>
        <w:pStyle w:val="ae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5E29AB" w:rsidRPr="00A44649" w:rsidRDefault="00912059">
      <w:pPr>
        <w:tabs>
          <w:tab w:val="left" w:pos="4320"/>
        </w:tabs>
        <w:ind w:right="-1"/>
        <w:jc w:val="both"/>
        <w:rPr>
          <w:lang w:val="uk-UA"/>
        </w:rPr>
      </w:pPr>
      <w:r>
        <w:rPr>
          <w:b/>
          <w:spacing w:val="6"/>
          <w:sz w:val="28"/>
          <w:szCs w:val="28"/>
          <w:lang w:val="uk-UA"/>
        </w:rPr>
        <w:t>9 листопада 2020 року</w:t>
      </w:r>
      <w:r>
        <w:rPr>
          <w:b/>
          <w:spacing w:val="6"/>
          <w:sz w:val="23"/>
          <w:szCs w:val="23"/>
          <w:lang w:val="uk-UA"/>
        </w:rPr>
        <w:t xml:space="preserve">    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   </w:t>
      </w:r>
      <w:r>
        <w:rPr>
          <w:rFonts w:ascii="Book Antiqua" w:hAnsi="Book Antiqua"/>
          <w:spacing w:val="6"/>
          <w:lang w:val="uk-UA"/>
        </w:rPr>
        <w:t>Київ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8"/>
          <w:szCs w:val="28"/>
          <w:lang w:val="uk-UA"/>
        </w:rPr>
        <w:t xml:space="preserve">№ </w:t>
      </w:r>
      <w:r w:rsidR="00A44649">
        <w:rPr>
          <w:b/>
          <w:spacing w:val="6"/>
          <w:sz w:val="28"/>
          <w:szCs w:val="28"/>
          <w:lang w:val="uk-UA"/>
        </w:rPr>
        <w:t>3057</w:t>
      </w:r>
      <w:bookmarkStart w:id="0" w:name="_GoBack"/>
      <w:bookmarkEnd w:id="0"/>
      <w:r>
        <w:rPr>
          <w:b/>
          <w:spacing w:val="6"/>
          <w:sz w:val="28"/>
          <w:szCs w:val="28"/>
          <w:lang w:val="uk-UA"/>
        </w:rPr>
        <w:t>/2дп/15-20</w:t>
      </w:r>
    </w:p>
    <w:p w:rsidR="005E29AB" w:rsidRDefault="005E29AB">
      <w:pPr>
        <w:tabs>
          <w:tab w:val="left" w:pos="4320"/>
        </w:tabs>
        <w:ind w:right="-1"/>
        <w:jc w:val="both"/>
        <w:rPr>
          <w:b/>
          <w:spacing w:val="-2"/>
          <w:lang w:val="uk-UA"/>
        </w:rPr>
      </w:pPr>
    </w:p>
    <w:p w:rsidR="005E29AB" w:rsidRPr="00912059" w:rsidRDefault="00912059">
      <w:pPr>
        <w:ind w:right="5243"/>
        <w:jc w:val="both"/>
        <w:rPr>
          <w:lang w:val="uk-UA"/>
        </w:rPr>
      </w:pPr>
      <w:r>
        <w:rPr>
          <w:b/>
          <w:spacing w:val="-2"/>
          <w:lang w:val="uk-UA"/>
        </w:rPr>
        <w:t>Про відмову у відкритті дисциплінарних справ за скаргами ПАТ «Національна акціонерна страхова компанія «Оранта»</w:t>
      </w:r>
      <w:r w:rsidRPr="00912059">
        <w:rPr>
          <w:b/>
          <w:spacing w:val="-2"/>
          <w:lang w:val="uk-UA"/>
        </w:rPr>
        <w:t xml:space="preserve"> стосовно судді </w:t>
      </w:r>
      <w:proofErr w:type="spellStart"/>
      <w:r w:rsidRPr="00912059">
        <w:rPr>
          <w:b/>
          <w:spacing w:val="-2"/>
          <w:lang w:val="uk-UA"/>
        </w:rPr>
        <w:t>Буського</w:t>
      </w:r>
      <w:proofErr w:type="spellEnd"/>
      <w:r w:rsidRPr="00912059">
        <w:rPr>
          <w:b/>
          <w:spacing w:val="-2"/>
          <w:lang w:val="uk-UA"/>
        </w:rPr>
        <w:t xml:space="preserve"> районного суду Львівської області </w:t>
      </w:r>
      <w:proofErr w:type="spellStart"/>
      <w:r w:rsidRPr="00912059">
        <w:rPr>
          <w:b/>
          <w:spacing w:val="-2"/>
          <w:lang w:val="uk-UA"/>
        </w:rPr>
        <w:t>Шендрікової</w:t>
      </w:r>
      <w:proofErr w:type="spellEnd"/>
      <w:r w:rsidRPr="00912059">
        <w:rPr>
          <w:b/>
          <w:spacing w:val="-2"/>
          <w:lang w:val="uk-UA"/>
        </w:rPr>
        <w:t xml:space="preserve"> Г</w:t>
      </w:r>
      <w:r>
        <w:rPr>
          <w:b/>
          <w:spacing w:val="-2"/>
          <w:lang w:val="uk-UA"/>
        </w:rPr>
        <w:t>.</w:t>
      </w:r>
      <w:r w:rsidRPr="00912059">
        <w:rPr>
          <w:b/>
          <w:spacing w:val="-2"/>
          <w:lang w:val="uk-UA"/>
        </w:rPr>
        <w:t>О</w:t>
      </w:r>
      <w:r>
        <w:rPr>
          <w:b/>
          <w:spacing w:val="-2"/>
          <w:lang w:val="uk-UA"/>
        </w:rPr>
        <w:t xml:space="preserve">.; </w:t>
      </w:r>
      <w:proofErr w:type="spellStart"/>
      <w:r>
        <w:rPr>
          <w:b/>
          <w:spacing w:val="-2"/>
          <w:lang w:val="uk-UA"/>
        </w:rPr>
        <w:t>Рутковського</w:t>
      </w:r>
      <w:proofErr w:type="spellEnd"/>
      <w:r>
        <w:rPr>
          <w:b/>
          <w:spacing w:val="-2"/>
          <w:lang w:val="uk-UA"/>
        </w:rPr>
        <w:t xml:space="preserve"> В.В. стосовно суддів Білоцерківського міськрайонного суду Київської області </w:t>
      </w:r>
      <w:proofErr w:type="spellStart"/>
      <w:r>
        <w:rPr>
          <w:b/>
          <w:spacing w:val="-2"/>
          <w:lang w:val="uk-UA"/>
        </w:rPr>
        <w:t>Ларіної</w:t>
      </w:r>
      <w:proofErr w:type="spellEnd"/>
      <w:r>
        <w:rPr>
          <w:b/>
          <w:spacing w:val="-2"/>
          <w:lang w:val="uk-UA"/>
        </w:rPr>
        <w:t xml:space="preserve"> О.В., </w:t>
      </w:r>
      <w:proofErr w:type="spellStart"/>
      <w:r>
        <w:rPr>
          <w:b/>
          <w:spacing w:val="-2"/>
          <w:lang w:val="uk-UA"/>
        </w:rPr>
        <w:t>Дубановської</w:t>
      </w:r>
      <w:proofErr w:type="spellEnd"/>
      <w:r>
        <w:rPr>
          <w:b/>
          <w:spacing w:val="-2"/>
          <w:lang w:val="uk-UA"/>
        </w:rPr>
        <w:t xml:space="preserve"> І.Д., Індустріального районного суду міста Дніпропетровська Ісаєвої Д.А.; </w:t>
      </w:r>
      <w:r>
        <w:rPr>
          <w:b/>
          <w:lang w:val="uk-UA"/>
        </w:rPr>
        <w:t xml:space="preserve">Гавриленка О.М. стосовно судді Лохвицького районного суду Полтавської області </w:t>
      </w:r>
      <w:proofErr w:type="spellStart"/>
      <w:r>
        <w:rPr>
          <w:b/>
          <w:lang w:val="uk-UA"/>
        </w:rPr>
        <w:t>Бондарь</w:t>
      </w:r>
      <w:proofErr w:type="spellEnd"/>
      <w:r>
        <w:rPr>
          <w:b/>
          <w:lang w:val="uk-UA"/>
        </w:rPr>
        <w:t xml:space="preserve"> В.А.</w:t>
      </w:r>
      <w:r>
        <w:rPr>
          <w:rFonts w:eastAsia="Calibri"/>
          <w:b/>
          <w:spacing w:val="-2"/>
          <w:lang w:val="uk-UA"/>
        </w:rPr>
        <w:t>;</w:t>
      </w:r>
      <w:r>
        <w:rPr>
          <w:rFonts w:eastAsia="Calibri"/>
          <w:b/>
          <w:spacing w:val="-2"/>
          <w:lang w:val="uk-UA"/>
        </w:rPr>
        <w:br/>
      </w:r>
      <w:proofErr w:type="spellStart"/>
      <w:r>
        <w:rPr>
          <w:rFonts w:eastAsia="Calibri"/>
          <w:b/>
          <w:spacing w:val="-2"/>
          <w:lang w:val="uk-UA"/>
        </w:rPr>
        <w:t>Біласа</w:t>
      </w:r>
      <w:proofErr w:type="spellEnd"/>
      <w:r>
        <w:rPr>
          <w:rFonts w:eastAsia="Calibri"/>
          <w:b/>
          <w:spacing w:val="-2"/>
          <w:lang w:val="uk-UA"/>
        </w:rPr>
        <w:t xml:space="preserve"> Є.І. стосовно судді Франківського районного суду міста Львова Мартьянової С.М.</w:t>
      </w:r>
    </w:p>
    <w:p w:rsidR="005E29AB" w:rsidRDefault="005E29AB">
      <w:pPr>
        <w:ind w:right="5527"/>
        <w:jc w:val="both"/>
        <w:rPr>
          <w:rFonts w:eastAsia="Calibri"/>
          <w:b/>
          <w:spacing w:val="-2"/>
          <w:lang w:val="uk-UA"/>
        </w:rPr>
      </w:pPr>
    </w:p>
    <w:p w:rsidR="005E29AB" w:rsidRPr="00912059" w:rsidRDefault="0091205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Друга Дисциплінарна палата Вищої ради правосуддя у складі</w:t>
      </w:r>
      <w:r>
        <w:rPr>
          <w:sz w:val="28"/>
          <w:szCs w:val="28"/>
          <w:lang w:val="uk-UA"/>
        </w:rPr>
        <w:br/>
        <w:t xml:space="preserve">головуючого – Прудивуса О.В., членів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Грищука В.К., розглянувши висновки доповідача – члена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5E29AB" w:rsidRDefault="00912059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5E29AB" w:rsidRDefault="00912059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5E29AB" w:rsidRDefault="005E29AB">
      <w:pPr>
        <w:jc w:val="center"/>
        <w:rPr>
          <w:iCs/>
          <w:sz w:val="28"/>
          <w:szCs w:val="28"/>
          <w:lang w:val="uk-UA"/>
        </w:rPr>
      </w:pPr>
    </w:p>
    <w:p w:rsidR="005E29AB" w:rsidRDefault="00912059">
      <w:pPr>
        <w:ind w:right="-1" w:firstLine="708"/>
        <w:jc w:val="both"/>
      </w:pPr>
      <w:r>
        <w:rPr>
          <w:iCs/>
          <w:sz w:val="28"/>
          <w:szCs w:val="28"/>
          <w:lang w:val="uk-UA"/>
        </w:rPr>
        <w:t xml:space="preserve">1. </w:t>
      </w:r>
      <w:r>
        <w:rPr>
          <w:bCs/>
          <w:i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highlight w:val="white"/>
          <w:lang w:val="uk-UA"/>
        </w:rPr>
        <w:t xml:space="preserve">26 серпня </w:t>
      </w:r>
      <w:r>
        <w:rPr>
          <w:sz w:val="28"/>
          <w:szCs w:val="28"/>
          <w:lang w:val="uk-UA"/>
        </w:rPr>
        <w:t>2020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83/3/13-20 надійшла дисциплінарна скарга Публічного акціонерного товариства «Національна акціонерна страхова компанія «Оранта», подана адвокатом </w:t>
      </w:r>
      <w:proofErr w:type="spellStart"/>
      <w:r>
        <w:rPr>
          <w:sz w:val="28"/>
          <w:szCs w:val="28"/>
          <w:lang w:val="uk-UA"/>
        </w:rPr>
        <w:t>Крестьяніновою</w:t>
      </w:r>
      <w:proofErr w:type="spellEnd"/>
      <w:r>
        <w:rPr>
          <w:sz w:val="28"/>
          <w:szCs w:val="28"/>
          <w:lang w:val="uk-UA"/>
        </w:rPr>
        <w:t xml:space="preserve"> Л.В., на дії судді </w:t>
      </w:r>
      <w:proofErr w:type="spellStart"/>
      <w:r>
        <w:rPr>
          <w:sz w:val="28"/>
          <w:szCs w:val="28"/>
          <w:lang w:val="uk-UA"/>
        </w:rPr>
        <w:t>Буського</w:t>
      </w:r>
      <w:proofErr w:type="spellEnd"/>
      <w:r>
        <w:rPr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>
        <w:rPr>
          <w:sz w:val="28"/>
          <w:szCs w:val="28"/>
          <w:lang w:val="uk-UA"/>
        </w:rPr>
        <w:t>Шендрікової</w:t>
      </w:r>
      <w:proofErr w:type="spellEnd"/>
      <w:r>
        <w:rPr>
          <w:sz w:val="28"/>
          <w:szCs w:val="28"/>
          <w:lang w:val="uk-UA"/>
        </w:rPr>
        <w:t xml:space="preserve"> Г.О. під час розгляду справи № 440/510/19.</w:t>
      </w:r>
    </w:p>
    <w:p w:rsidR="005E29AB" w:rsidRDefault="009120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28 жовтня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bCs/>
          <w:sz w:val="28"/>
          <w:szCs w:val="28"/>
          <w:lang w:val="uk-UA" w:eastAsia="uk-UA"/>
        </w:rPr>
        <w:t xml:space="preserve">2. </w:t>
      </w:r>
      <w:r>
        <w:rPr>
          <w:bCs/>
          <w:sz w:val="28"/>
          <w:szCs w:val="28"/>
          <w:lang w:val="uk-UA"/>
        </w:rPr>
        <w:t>20 серпня 2019 року до Вищої ради правосуддя за вхідним</w:t>
      </w:r>
      <w:r>
        <w:rPr>
          <w:bCs/>
          <w:sz w:val="28"/>
          <w:szCs w:val="28"/>
          <w:lang w:val="uk-UA"/>
        </w:rPr>
        <w:br/>
        <w:t xml:space="preserve">№ Р-3009/2/7-19 надійшла скарга </w:t>
      </w:r>
      <w:proofErr w:type="spellStart"/>
      <w:r>
        <w:rPr>
          <w:bCs/>
          <w:sz w:val="28"/>
          <w:szCs w:val="28"/>
          <w:lang w:val="uk-UA"/>
        </w:rPr>
        <w:t>Рутковського</w:t>
      </w:r>
      <w:proofErr w:type="spellEnd"/>
      <w:r>
        <w:rPr>
          <w:bCs/>
          <w:sz w:val="28"/>
          <w:szCs w:val="28"/>
          <w:lang w:val="uk-UA"/>
        </w:rPr>
        <w:t xml:space="preserve"> В.В. на дії суддів </w:t>
      </w:r>
      <w:r>
        <w:rPr>
          <w:bCs/>
          <w:sz w:val="28"/>
          <w:szCs w:val="28"/>
          <w:lang w:val="uk-UA"/>
        </w:rPr>
        <w:lastRenderedPageBreak/>
        <w:t xml:space="preserve">Білоцерківського міськрайонного суду Київської області </w:t>
      </w:r>
      <w:proofErr w:type="spellStart"/>
      <w:r>
        <w:rPr>
          <w:bCs/>
          <w:sz w:val="28"/>
          <w:szCs w:val="28"/>
          <w:lang w:val="uk-UA"/>
        </w:rPr>
        <w:t>Ларіної</w:t>
      </w:r>
      <w:proofErr w:type="spellEnd"/>
      <w:r>
        <w:rPr>
          <w:bCs/>
          <w:sz w:val="28"/>
          <w:szCs w:val="28"/>
          <w:lang w:val="uk-UA"/>
        </w:rPr>
        <w:t xml:space="preserve"> О.В., </w:t>
      </w:r>
      <w:proofErr w:type="spellStart"/>
      <w:r>
        <w:rPr>
          <w:bCs/>
          <w:sz w:val="28"/>
          <w:szCs w:val="28"/>
          <w:lang w:val="uk-UA"/>
        </w:rPr>
        <w:t>Дубановської</w:t>
      </w:r>
      <w:proofErr w:type="spellEnd"/>
      <w:r>
        <w:rPr>
          <w:bCs/>
          <w:sz w:val="28"/>
          <w:szCs w:val="28"/>
          <w:lang w:val="uk-UA"/>
        </w:rPr>
        <w:t xml:space="preserve"> І.Д., Індустріального районного суду міста Дніпропетровська Ісаєвої Д.А. (за дії, вчинені на посаді судді Білоцерківського міськрайонного суду Київської області) під час розгляду справи № 357/15860/17 (провадження № 1-кп/357/582/19). </w:t>
      </w:r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28 жовтня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color w:val="000000" w:themeColor="text1"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5 липня 2020 року </w:t>
      </w:r>
      <w:r>
        <w:rPr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 xml:space="preserve">Г-3481/1/7-20 </w:t>
      </w:r>
      <w:r>
        <w:rPr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r>
        <w:rPr>
          <w:sz w:val="28"/>
          <w:szCs w:val="28"/>
          <w:lang w:val="uk-UA"/>
        </w:rPr>
        <w:t xml:space="preserve">Гавриленка О.М. на дії судді </w:t>
      </w:r>
      <w:r>
        <w:rPr>
          <w:bCs/>
          <w:sz w:val="28"/>
          <w:szCs w:val="28"/>
          <w:lang w:val="uk-UA"/>
        </w:rPr>
        <w:t xml:space="preserve">Лохвицького районного суду Полтавської області </w:t>
      </w:r>
      <w:proofErr w:type="spellStart"/>
      <w:r>
        <w:rPr>
          <w:bCs/>
          <w:sz w:val="28"/>
          <w:szCs w:val="28"/>
          <w:lang w:val="uk-UA"/>
        </w:rPr>
        <w:t>Бондарь</w:t>
      </w:r>
      <w:proofErr w:type="spellEnd"/>
      <w:r>
        <w:rPr>
          <w:bCs/>
          <w:sz w:val="28"/>
          <w:szCs w:val="28"/>
          <w:lang w:val="uk-UA"/>
        </w:rPr>
        <w:t xml:space="preserve"> В.А. </w:t>
      </w:r>
      <w:r>
        <w:rPr>
          <w:sz w:val="28"/>
          <w:szCs w:val="28"/>
          <w:shd w:val="clear" w:color="auto" w:fill="FFFFFF"/>
          <w:lang w:val="uk-UA"/>
        </w:rPr>
        <w:t>під час розгляду справ</w:t>
      </w:r>
      <w:r>
        <w:rPr>
          <w:sz w:val="28"/>
          <w:szCs w:val="28"/>
          <w:shd w:val="clear" w:color="auto" w:fill="FFFFFF"/>
          <w:lang w:val="uk-UA"/>
        </w:rPr>
        <w:br/>
        <w:t>№№ 538/743/20, 538/802/20.</w:t>
      </w:r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21 жовтня 2020 року 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5E29AB" w:rsidRDefault="0091205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>
        <w:rPr>
          <w:sz w:val="28"/>
          <w:szCs w:val="28"/>
          <w:highlight w:val="white"/>
          <w:lang w:val="uk-UA"/>
        </w:rPr>
        <w:t xml:space="preserve">22 жовтня </w:t>
      </w:r>
      <w:r>
        <w:rPr>
          <w:sz w:val="28"/>
          <w:szCs w:val="28"/>
          <w:lang w:val="uk-UA"/>
        </w:rPr>
        <w:t xml:space="preserve">2019 року, 3 січня 2020 року до Вищої ради правосуддя за вхідними №№ Б-5807/0/7-19, Б-110/0/7-20 надійшли скарги </w:t>
      </w:r>
      <w:proofErr w:type="spellStart"/>
      <w:r>
        <w:rPr>
          <w:sz w:val="28"/>
          <w:szCs w:val="28"/>
          <w:lang w:val="uk-UA"/>
        </w:rPr>
        <w:t>Біласа</w:t>
      </w:r>
      <w:proofErr w:type="spellEnd"/>
      <w:r>
        <w:rPr>
          <w:sz w:val="28"/>
          <w:szCs w:val="28"/>
          <w:lang w:val="uk-UA"/>
        </w:rPr>
        <w:t xml:space="preserve"> Є.І. на дії (бездіяльність) судді Франківського районного суду міста Львова</w:t>
      </w:r>
      <w:r>
        <w:rPr>
          <w:sz w:val="28"/>
          <w:szCs w:val="28"/>
          <w:lang w:val="uk-UA"/>
        </w:rPr>
        <w:br/>
        <w:t>Мартьянової С.М. під час розгляду справи № 465/3548/14-ц (провадження</w:t>
      </w:r>
      <w:r>
        <w:rPr>
          <w:sz w:val="28"/>
          <w:szCs w:val="28"/>
          <w:lang w:val="uk-UA"/>
        </w:rPr>
        <w:br/>
        <w:t xml:space="preserve">№ </w:t>
      </w:r>
      <w:r>
        <w:rPr>
          <w:color w:val="000000"/>
          <w:sz w:val="28"/>
          <w:szCs w:val="28"/>
          <w:lang w:val="uk-UA"/>
        </w:rPr>
        <w:t>2/465/894/19)</w:t>
      </w:r>
      <w:r>
        <w:rPr>
          <w:sz w:val="28"/>
          <w:szCs w:val="28"/>
          <w:lang w:val="uk-UA"/>
        </w:rPr>
        <w:t>.</w:t>
      </w:r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28 жовтня 2020 року про відсутність підстав для відкриття дисциплінарної справи, оскільки доводи</w:t>
      </w:r>
      <w:bookmarkStart w:id="1" w:name="_GoBack1"/>
      <w:bookmarkEnd w:id="1"/>
      <w:r>
        <w:rPr>
          <w:sz w:val="28"/>
          <w:szCs w:val="28"/>
          <w:lang w:val="uk-UA"/>
        </w:rPr>
        <w:t xml:space="preserve"> скарг </w:t>
      </w: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у відповідних частинах або вже були предметом перевірки та розгляду і щодо них відмовлено у відкритті дисциплінарної справи, або зводяться до незгоди із ухваленими судовими рішеннями, або не містять відомостей про наявність у поведінці судді ознак дисциплінарних проступків (пункти 1, 4</w:t>
      </w: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br/>
        <w:t>частини першої статті 45 Закону України «Про Вищу раду правосуддя», частина шоста статті 107 Закону України «Про судоустрій і статус суддів»).</w:t>
      </w:r>
      <w:bookmarkStart w:id="2" w:name="_GoBack2"/>
      <w:bookmarkEnd w:id="2"/>
    </w:p>
    <w:p w:rsidR="005E29AB" w:rsidRPr="00912059" w:rsidRDefault="00912059">
      <w:pPr>
        <w:ind w:right="-1" w:firstLine="708"/>
        <w:jc w:val="both"/>
        <w:rPr>
          <w:lang w:val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Згідно із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5E29AB" w:rsidRDefault="00912059">
      <w:pPr>
        <w:pStyle w:val="a9"/>
        <w:spacing w:after="0"/>
        <w:ind w:right="-1" w:firstLine="708"/>
        <w:jc w:val="both"/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Відповідно до пункту 1 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5E29AB" w:rsidRDefault="00912059">
      <w:pPr>
        <w:ind w:firstLine="708"/>
        <w:jc w:val="both"/>
        <w:rPr>
          <w:lang w:val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lastRenderedPageBreak/>
        <w:t>Пунктом 4 частини першої статті 45 Закону України «Про Вищу раду правосуддя» встановлено, що у відкритті дисциплінарної справи має бути відмовлено, якщо суть с</w:t>
      </w:r>
      <w:r>
        <w:rPr>
          <w:sz w:val="28"/>
          <w:szCs w:val="28"/>
          <w:lang w:val="uk-UA"/>
        </w:rPr>
        <w:t>карги зводиться лише до незгоди із судовим рішенням.</w:t>
      </w:r>
    </w:p>
    <w:p w:rsidR="005E29AB" w:rsidRDefault="009120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 Дисциплінарна палата Вищої ради правосуддя </w:t>
      </w:r>
    </w:p>
    <w:p w:rsidR="005E29AB" w:rsidRDefault="005E29AB">
      <w:pPr>
        <w:ind w:firstLine="708"/>
        <w:jc w:val="both"/>
        <w:rPr>
          <w:sz w:val="28"/>
          <w:szCs w:val="28"/>
          <w:lang w:val="uk-UA"/>
        </w:rPr>
      </w:pPr>
    </w:p>
    <w:p w:rsidR="005E29AB" w:rsidRDefault="00912059">
      <w:pPr>
        <w:pStyle w:val="a9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5E29AB" w:rsidRDefault="005E29AB">
      <w:pPr>
        <w:pStyle w:val="a9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5E29AB" w:rsidRDefault="009120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у відкритті дисциплінарної справи за скаргою Публічного акціонерного товариства «Національна акціонерна страхова компанія «Оранта» стосовно судді </w:t>
      </w:r>
      <w:proofErr w:type="spellStart"/>
      <w:r>
        <w:rPr>
          <w:sz w:val="28"/>
          <w:szCs w:val="28"/>
          <w:lang w:val="uk-UA"/>
        </w:rPr>
        <w:t>Буського</w:t>
      </w:r>
      <w:proofErr w:type="spellEnd"/>
      <w:r>
        <w:rPr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>
        <w:rPr>
          <w:sz w:val="28"/>
          <w:szCs w:val="28"/>
          <w:lang w:val="uk-UA"/>
        </w:rPr>
        <w:t>Шендрікової</w:t>
      </w:r>
      <w:proofErr w:type="spellEnd"/>
      <w:r>
        <w:rPr>
          <w:sz w:val="28"/>
          <w:szCs w:val="28"/>
          <w:lang w:val="uk-UA"/>
        </w:rPr>
        <w:t xml:space="preserve"> Ганни Олександрівни. </w:t>
      </w:r>
    </w:p>
    <w:p w:rsidR="005E29AB" w:rsidRDefault="009120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Рутковського</w:t>
      </w:r>
      <w:proofErr w:type="spellEnd"/>
      <w:r>
        <w:rPr>
          <w:sz w:val="28"/>
          <w:szCs w:val="28"/>
          <w:lang w:val="uk-UA"/>
        </w:rPr>
        <w:t xml:space="preserve"> Валерія Валерійовича стосовно суддів Білоцерківського міськрайонного суду Київської області </w:t>
      </w:r>
      <w:proofErr w:type="spellStart"/>
      <w:r>
        <w:rPr>
          <w:sz w:val="28"/>
          <w:szCs w:val="28"/>
          <w:lang w:val="uk-UA"/>
        </w:rPr>
        <w:t>Ларіної</w:t>
      </w:r>
      <w:proofErr w:type="spellEnd"/>
      <w:r>
        <w:rPr>
          <w:sz w:val="28"/>
          <w:szCs w:val="28"/>
          <w:lang w:val="uk-UA"/>
        </w:rPr>
        <w:t xml:space="preserve"> Ольги Віталіївни, </w:t>
      </w:r>
      <w:proofErr w:type="spellStart"/>
      <w:r>
        <w:rPr>
          <w:sz w:val="28"/>
          <w:szCs w:val="28"/>
          <w:lang w:val="uk-UA"/>
        </w:rPr>
        <w:t>Дубановської</w:t>
      </w:r>
      <w:proofErr w:type="spellEnd"/>
      <w:r>
        <w:rPr>
          <w:sz w:val="28"/>
          <w:szCs w:val="28"/>
          <w:lang w:val="uk-UA"/>
        </w:rPr>
        <w:t xml:space="preserve"> Ірини Дмитрівни, Індустріального районного суду міста Дніпропетровська Ісаєвої Діани Аркадіївни.</w:t>
      </w:r>
    </w:p>
    <w:p w:rsidR="005E29AB" w:rsidRDefault="00912059">
      <w:pPr>
        <w:ind w:right="-1" w:firstLine="708"/>
        <w:jc w:val="both"/>
      </w:pPr>
      <w:r>
        <w:rPr>
          <w:sz w:val="28"/>
          <w:szCs w:val="28"/>
          <w:lang w:val="uk-UA"/>
        </w:rPr>
        <w:t>3. В</w:t>
      </w:r>
      <w:r>
        <w:rPr>
          <w:sz w:val="28"/>
          <w:szCs w:val="28"/>
          <w:lang w:val="uk-UA" w:eastAsia="en-US"/>
        </w:rPr>
        <w:t xml:space="preserve">ідмовити у відкритті дисциплінарної справи </w:t>
      </w:r>
      <w:r>
        <w:rPr>
          <w:sz w:val="28"/>
          <w:szCs w:val="28"/>
          <w:highlight w:val="white"/>
          <w:lang w:val="uk-UA" w:eastAsia="en-US"/>
        </w:rPr>
        <w:t xml:space="preserve">за скаргою </w:t>
      </w:r>
      <w:r>
        <w:rPr>
          <w:bCs/>
          <w:sz w:val="28"/>
          <w:szCs w:val="28"/>
          <w:lang w:val="uk-UA"/>
        </w:rPr>
        <w:t xml:space="preserve">Гавриленка Олександра Миколайовича стосовно судді Лохвицького районного суду Полтавської області </w:t>
      </w:r>
      <w:proofErr w:type="spellStart"/>
      <w:r>
        <w:rPr>
          <w:bCs/>
          <w:sz w:val="28"/>
          <w:szCs w:val="28"/>
          <w:lang w:val="uk-UA"/>
        </w:rPr>
        <w:t>Бондарь</w:t>
      </w:r>
      <w:proofErr w:type="spellEnd"/>
      <w:r>
        <w:rPr>
          <w:bCs/>
          <w:sz w:val="28"/>
          <w:szCs w:val="28"/>
          <w:lang w:val="uk-UA"/>
        </w:rPr>
        <w:t xml:space="preserve"> Вікторії Анатоліївни</w:t>
      </w:r>
      <w:r>
        <w:rPr>
          <w:sz w:val="28"/>
          <w:szCs w:val="28"/>
          <w:highlight w:val="white"/>
          <w:lang w:val="uk-UA" w:eastAsia="en-US"/>
        </w:rPr>
        <w:t>.</w:t>
      </w:r>
    </w:p>
    <w:p w:rsidR="005E29AB" w:rsidRDefault="00912059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 В</w:t>
      </w:r>
      <w:r>
        <w:rPr>
          <w:sz w:val="28"/>
          <w:szCs w:val="28"/>
          <w:lang w:val="uk-UA" w:eastAsia="en-US"/>
        </w:rPr>
        <w:t xml:space="preserve">ідмовити у відкритті дисциплінарної справи </w:t>
      </w:r>
      <w:r>
        <w:rPr>
          <w:sz w:val="28"/>
          <w:szCs w:val="28"/>
          <w:highlight w:val="white"/>
          <w:lang w:val="uk-UA" w:eastAsia="en-US"/>
        </w:rPr>
        <w:t xml:space="preserve">за скаргами </w:t>
      </w:r>
      <w:proofErr w:type="spellStart"/>
      <w:r>
        <w:rPr>
          <w:sz w:val="28"/>
          <w:szCs w:val="28"/>
          <w:highlight w:val="white"/>
          <w:lang w:val="uk-UA" w:eastAsia="en-US"/>
        </w:rPr>
        <w:t>Біласа</w:t>
      </w:r>
      <w:proofErr w:type="spellEnd"/>
      <w:r>
        <w:rPr>
          <w:sz w:val="28"/>
          <w:szCs w:val="28"/>
          <w:highlight w:val="white"/>
          <w:lang w:val="uk-UA" w:eastAsia="en-US"/>
        </w:rPr>
        <w:t xml:space="preserve"> Євгена Івановича</w:t>
      </w:r>
      <w:r>
        <w:rPr>
          <w:sz w:val="28"/>
          <w:szCs w:val="28"/>
          <w:lang w:val="uk-UA" w:eastAsia="en-US"/>
        </w:rPr>
        <w:t xml:space="preserve"> стосовно судді Франківського районного суду міста Львова</w:t>
      </w:r>
      <w:r>
        <w:rPr>
          <w:sz w:val="28"/>
          <w:szCs w:val="28"/>
          <w:highlight w:val="white"/>
          <w:lang w:val="uk-UA" w:eastAsia="en-US"/>
        </w:rPr>
        <w:t xml:space="preserve"> Мартьянової Світлани Мирославівни.</w:t>
      </w:r>
    </w:p>
    <w:p w:rsidR="005E29AB" w:rsidRDefault="009120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5E29AB" w:rsidRDefault="005E29AB">
      <w:pPr>
        <w:ind w:right="-1" w:firstLine="708"/>
        <w:jc w:val="both"/>
        <w:rPr>
          <w:sz w:val="28"/>
          <w:szCs w:val="28"/>
          <w:lang w:val="uk-UA"/>
        </w:rPr>
      </w:pPr>
    </w:p>
    <w:p w:rsidR="005E29AB" w:rsidRDefault="005E29AB">
      <w:pPr>
        <w:jc w:val="both"/>
        <w:rPr>
          <w:sz w:val="16"/>
          <w:szCs w:val="16"/>
          <w:lang w:val="uk-UA"/>
        </w:rPr>
      </w:pPr>
    </w:p>
    <w:p w:rsidR="005E29AB" w:rsidRDefault="009120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5E29AB" w:rsidRDefault="009120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Другої Дисциплінарної палати</w:t>
      </w:r>
    </w:p>
    <w:p w:rsidR="005E29AB" w:rsidRDefault="009120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О.В. Прудивус </w:t>
      </w:r>
    </w:p>
    <w:p w:rsidR="005E29AB" w:rsidRDefault="005E29AB">
      <w:pPr>
        <w:jc w:val="both"/>
        <w:rPr>
          <w:b/>
          <w:sz w:val="28"/>
          <w:szCs w:val="28"/>
          <w:lang w:val="uk-UA"/>
        </w:rPr>
      </w:pPr>
    </w:p>
    <w:p w:rsidR="005E29AB" w:rsidRDefault="009120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5E29AB" w:rsidRDefault="00912059" w:rsidP="005A0AF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</w:t>
      </w:r>
      <w:r w:rsidR="005A0AF4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5E29AB" w:rsidRDefault="00912059">
      <w:pPr>
        <w:ind w:left="7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E29AB" w:rsidRDefault="005E29AB">
      <w:pPr>
        <w:ind w:left="7080"/>
        <w:jc w:val="both"/>
        <w:rPr>
          <w:b/>
          <w:sz w:val="28"/>
          <w:szCs w:val="28"/>
          <w:lang w:val="uk-UA"/>
        </w:rPr>
      </w:pPr>
    </w:p>
    <w:p w:rsidR="005E29AB" w:rsidRPr="00912059" w:rsidRDefault="00912059">
      <w:pPr>
        <w:ind w:left="708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  <w:r>
        <w:rPr>
          <w:b/>
          <w:sz w:val="28"/>
          <w:szCs w:val="28"/>
          <w:lang w:val="uk-UA"/>
        </w:rPr>
        <w:tab/>
        <w:t xml:space="preserve"> </w:t>
      </w:r>
    </w:p>
    <w:sectPr w:rsidR="005E29AB" w:rsidRPr="00912059">
      <w:headerReference w:type="default" r:id="rId7"/>
      <w:pgSz w:w="11906" w:h="16838"/>
      <w:pgMar w:top="1135" w:right="795" w:bottom="568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598" w:rsidRDefault="00664598">
      <w:r>
        <w:separator/>
      </w:r>
    </w:p>
  </w:endnote>
  <w:endnote w:type="continuationSeparator" w:id="0">
    <w:p w:rsidR="00664598" w:rsidRDefault="0066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598" w:rsidRDefault="00664598">
      <w:r>
        <w:separator/>
      </w:r>
    </w:p>
  </w:footnote>
  <w:footnote w:type="continuationSeparator" w:id="0">
    <w:p w:rsidR="00664598" w:rsidRDefault="00664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194174"/>
      <w:docPartObj>
        <w:docPartGallery w:val="Page Numbers (Top of Page)"/>
        <w:docPartUnique/>
      </w:docPartObj>
    </w:sdtPr>
    <w:sdtEndPr/>
    <w:sdtContent>
      <w:p w:rsidR="005E29AB" w:rsidRDefault="00912059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4649">
          <w:rPr>
            <w:noProof/>
          </w:rPr>
          <w:t>3</w:t>
        </w:r>
        <w:r>
          <w:fldChar w:fldCharType="end"/>
        </w:r>
      </w:p>
    </w:sdtContent>
  </w:sdt>
  <w:p w:rsidR="005E29AB" w:rsidRDefault="005E29AB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AB"/>
    <w:rsid w:val="005A0AF4"/>
    <w:rsid w:val="005E29AB"/>
    <w:rsid w:val="00664598"/>
    <w:rsid w:val="00730E9B"/>
    <w:rsid w:val="00912059"/>
    <w:rsid w:val="00A44649"/>
    <w:rsid w:val="00AB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C4DC"/>
  <w15:docId w15:val="{C826D5DF-B4C5-4256-ACA9-A01F7113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qFormat/>
    <w:locked/>
    <w:rsid w:val="000124CF"/>
    <w:rPr>
      <w:rFonts w:asciiTheme="minorHAnsi" w:hAnsiTheme="minorHAnsi"/>
      <w:sz w:val="22"/>
    </w:rPr>
  </w:style>
  <w:style w:type="character" w:customStyle="1" w:styleId="rvts9">
    <w:name w:val="rvts9"/>
    <w:qFormat/>
    <w:rsid w:val="000124CF"/>
    <w:rPr>
      <w:rFonts w:cs="Times New Roman"/>
    </w:rPr>
  </w:style>
  <w:style w:type="character" w:customStyle="1" w:styleId="a4">
    <w:name w:val="Основний текст Знак"/>
    <w:basedOn w:val="a0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uiPriority w:val="99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Текст у виносці Знак"/>
    <w:basedOn w:val="a0"/>
    <w:uiPriority w:val="99"/>
    <w:semiHidden/>
    <w:qFormat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character" w:styleId="a7">
    <w:name w:val="Strong"/>
    <w:basedOn w:val="a0"/>
    <w:uiPriority w:val="22"/>
    <w:qFormat/>
    <w:rsid w:val="004010ED"/>
    <w:rPr>
      <w:b/>
      <w:bCs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rsid w:val="000124CF"/>
    <w:pPr>
      <w:spacing w:after="12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ohit Devanagari"/>
    </w:rPr>
  </w:style>
  <w:style w:type="paragraph" w:styleId="ad">
    <w:name w:val="Title"/>
    <w:basedOn w:val="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e">
    <w:name w:val="List Paragraph"/>
    <w:basedOn w:val="a"/>
    <w:qFormat/>
    <w:rsid w:val="000124C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af">
    <w:name w:val="header"/>
    <w:basedOn w:val="a"/>
    <w:uiPriority w:val="99"/>
    <w:unhideWhenUsed/>
    <w:rsid w:val="000124CF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D27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4002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Ковальова (VRU-GAMEMAX11 - a.kovalova)</dc:creator>
  <dc:description/>
  <cp:lastModifiedBy>Ганна Осіпова (VRU-GAMEMAX07 - g.osipova)</cp:lastModifiedBy>
  <cp:revision>6</cp:revision>
  <cp:lastPrinted>2020-11-09T17:34:00Z</cp:lastPrinted>
  <dcterms:created xsi:type="dcterms:W3CDTF">2020-11-06T13:57:00Z</dcterms:created>
  <dcterms:modified xsi:type="dcterms:W3CDTF">2020-11-11T09:44:00Z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