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692" w:rsidRPr="00872692" w:rsidRDefault="00872692" w:rsidP="00872692">
      <w:pPr>
        <w:suppressAutoHyphens/>
        <w:autoSpaceDE w:val="0"/>
        <w:spacing w:after="0" w:line="240" w:lineRule="auto"/>
        <w:ind w:right="-2"/>
        <w:jc w:val="center"/>
        <w:textAlignment w:val="baseline"/>
        <w:rPr>
          <w:rFonts w:ascii="AcademyC" w:eastAsia="Times New Roman" w:hAnsi="AcademyC" w:cs="AcademyC"/>
          <w:b/>
          <w:sz w:val="24"/>
          <w:szCs w:val="24"/>
          <w:lang w:eastAsia="uk-UA"/>
        </w:rPr>
      </w:pPr>
      <w:r w:rsidRPr="00872692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BB0A0C7" wp14:editId="0214BE59">
            <wp:extent cx="4381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33" t="-418" r="-533" b="-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92" w:rsidRPr="00872692" w:rsidRDefault="00872692" w:rsidP="00872692">
      <w:pPr>
        <w:suppressAutoHyphens/>
        <w:autoSpaceDE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872692">
        <w:rPr>
          <w:rFonts w:ascii="AcademyC" w:eastAsia="Times New Roman" w:hAnsi="AcademyC" w:cs="AcademyC"/>
          <w:b/>
          <w:sz w:val="24"/>
          <w:szCs w:val="24"/>
          <w:lang w:eastAsia="uk-UA"/>
        </w:rPr>
        <w:t>УКРАЇНА</w:t>
      </w:r>
    </w:p>
    <w:p w:rsidR="00872692" w:rsidRPr="00872692" w:rsidRDefault="00872692" w:rsidP="00872692">
      <w:pPr>
        <w:suppressAutoHyphens/>
        <w:autoSpaceDE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872692">
        <w:rPr>
          <w:rFonts w:ascii="AcademyC" w:eastAsia="Times New Roman" w:hAnsi="AcademyC" w:cs="AcademyC"/>
          <w:b/>
          <w:sz w:val="28"/>
          <w:szCs w:val="28"/>
          <w:lang w:eastAsia="uk-UA"/>
        </w:rPr>
        <w:t>ВИЩА  РАДА  ПРАВОСУДДЯ</w:t>
      </w:r>
    </w:p>
    <w:p w:rsidR="00872692" w:rsidRPr="00872692" w:rsidRDefault="00872692" w:rsidP="00872692">
      <w:pPr>
        <w:suppressAutoHyphens/>
        <w:autoSpaceDE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872692">
        <w:rPr>
          <w:rFonts w:ascii="AcademyC" w:eastAsia="Times New Roman" w:hAnsi="AcademyC" w:cs="AcademyC"/>
          <w:b/>
          <w:sz w:val="28"/>
          <w:szCs w:val="28"/>
          <w:lang w:eastAsia="uk-UA"/>
        </w:rPr>
        <w:t>ПЕРША ДИСЦИПЛІНАРНА ПАЛАТА</w:t>
      </w:r>
    </w:p>
    <w:p w:rsidR="00872692" w:rsidRPr="00872692" w:rsidRDefault="00872692" w:rsidP="00872692">
      <w:pPr>
        <w:suppressAutoHyphens/>
        <w:autoSpaceDE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872692">
        <w:rPr>
          <w:rFonts w:ascii="AcademyC" w:eastAsia="Times New Roman" w:hAnsi="AcademyC" w:cs="AcademyC"/>
          <w:b/>
          <w:sz w:val="28"/>
          <w:szCs w:val="28"/>
          <w:lang w:eastAsia="uk-UA"/>
        </w:rPr>
        <w:t>УХВАЛА</w:t>
      </w:r>
    </w:p>
    <w:p w:rsidR="00872692" w:rsidRPr="00872692" w:rsidRDefault="00872692" w:rsidP="00872692">
      <w:pPr>
        <w:suppressAutoHyphens/>
        <w:autoSpaceDE w:val="0"/>
        <w:spacing w:after="0" w:line="240" w:lineRule="auto"/>
        <w:ind w:right="-2"/>
        <w:jc w:val="center"/>
        <w:textAlignment w:val="baseline"/>
        <w:rPr>
          <w:rFonts w:ascii="AcademyC" w:eastAsia="Times New Roman" w:hAnsi="AcademyC" w:cs="AcademyC"/>
          <w:b/>
          <w:sz w:val="28"/>
          <w:szCs w:val="28"/>
          <w:lang w:eastAsia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4"/>
        <w:gridCol w:w="2304"/>
        <w:gridCol w:w="3334"/>
      </w:tblGrid>
      <w:tr w:rsidR="00872692" w:rsidRPr="00872692" w:rsidTr="00DB3520">
        <w:trPr>
          <w:trHeight w:val="188"/>
        </w:trPr>
        <w:tc>
          <w:tcPr>
            <w:tcW w:w="3934" w:type="dxa"/>
            <w:shd w:val="clear" w:color="auto" w:fill="auto"/>
          </w:tcPr>
          <w:p w:rsidR="00872692" w:rsidRPr="00872692" w:rsidRDefault="00872692" w:rsidP="00872692">
            <w:pPr>
              <w:spacing w:line="254" w:lineRule="auto"/>
              <w:rPr>
                <w:rFonts w:ascii="Book Antiqua" w:eastAsia="Calibri" w:hAnsi="Book Antiqua" w:cs="Times New Roman"/>
                <w:b/>
                <w:sz w:val="28"/>
                <w:szCs w:val="28"/>
                <w:lang w:val="ru-RU" w:eastAsia="zh-CN"/>
              </w:rPr>
            </w:pPr>
            <w:r>
              <w:rPr>
                <w:rFonts w:ascii="Book Antiqua" w:eastAsia="Calibri" w:hAnsi="Book Antiqua" w:cs="Times New Roman"/>
                <w:b/>
                <w:sz w:val="28"/>
                <w:szCs w:val="28"/>
                <w:lang w:eastAsia="uk-UA"/>
              </w:rPr>
              <w:t xml:space="preserve">11 листопада </w:t>
            </w:r>
            <w:r w:rsidRPr="00872692">
              <w:rPr>
                <w:rFonts w:ascii="Book Antiqua" w:eastAsia="Calibri" w:hAnsi="Book Antiqua" w:cs="Times New Roman"/>
                <w:b/>
                <w:sz w:val="28"/>
                <w:szCs w:val="28"/>
                <w:lang w:eastAsia="uk-UA"/>
              </w:rPr>
              <w:t>2020 року</w:t>
            </w:r>
          </w:p>
        </w:tc>
        <w:tc>
          <w:tcPr>
            <w:tcW w:w="2304" w:type="dxa"/>
            <w:shd w:val="clear" w:color="auto" w:fill="auto"/>
          </w:tcPr>
          <w:p w:rsidR="00872692" w:rsidRPr="00872692" w:rsidRDefault="00872692" w:rsidP="00872692">
            <w:pPr>
              <w:suppressAutoHyphens/>
              <w:autoSpaceDE w:val="0"/>
              <w:spacing w:after="0" w:line="240" w:lineRule="auto"/>
              <w:ind w:right="-2"/>
              <w:jc w:val="both"/>
              <w:textAlignment w:val="baseline"/>
              <w:rPr>
                <w:rFonts w:ascii="Book Antiqua" w:eastAsia="Times New Roman" w:hAnsi="Book Antiqua" w:cs="Times New Roman"/>
                <w:b/>
                <w:sz w:val="28"/>
                <w:szCs w:val="28"/>
                <w:lang w:val="ru-RU" w:eastAsia="zh-CN"/>
              </w:rPr>
            </w:pPr>
            <w:r w:rsidRPr="00872692"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uk-UA"/>
              </w:rPr>
              <w:t xml:space="preserve">            </w:t>
            </w:r>
            <w:r w:rsidRPr="00872692">
              <w:rPr>
                <w:rFonts w:ascii="Book Antiqua" w:eastAsia="Times New Roman" w:hAnsi="Book Antiqua" w:cs="Book Antiqua"/>
                <w:b/>
                <w:sz w:val="28"/>
                <w:szCs w:val="28"/>
                <w:lang w:eastAsia="uk-UA"/>
              </w:rPr>
              <w:t>Київ</w:t>
            </w:r>
          </w:p>
        </w:tc>
        <w:tc>
          <w:tcPr>
            <w:tcW w:w="3334" w:type="dxa"/>
            <w:shd w:val="clear" w:color="auto" w:fill="auto"/>
          </w:tcPr>
          <w:p w:rsidR="00872692" w:rsidRPr="00872692" w:rsidRDefault="00872692" w:rsidP="00872692">
            <w:pPr>
              <w:suppressAutoHyphens/>
              <w:autoSpaceDE w:val="0"/>
              <w:spacing w:after="0" w:line="240" w:lineRule="auto"/>
              <w:ind w:right="-2"/>
              <w:jc w:val="both"/>
              <w:textAlignment w:val="baseline"/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uk-UA"/>
              </w:rPr>
              <w:t xml:space="preserve">      № 3079</w:t>
            </w:r>
            <w:bookmarkStart w:id="0" w:name="_GoBack"/>
            <w:bookmarkEnd w:id="0"/>
            <w:r w:rsidRPr="00872692"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uk-UA"/>
              </w:rPr>
              <w:t xml:space="preserve">/1дп/15-20 </w:t>
            </w:r>
          </w:p>
        </w:tc>
      </w:tr>
    </w:tbl>
    <w:p w:rsidR="00872692" w:rsidRPr="00872692" w:rsidRDefault="00872692" w:rsidP="00872692">
      <w:pPr>
        <w:tabs>
          <w:tab w:val="left" w:pos="9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7269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</w:t>
      </w:r>
    </w:p>
    <w:p w:rsidR="00872692" w:rsidRPr="00872692" w:rsidRDefault="00872692" w:rsidP="00872692">
      <w:pPr>
        <w:tabs>
          <w:tab w:val="left" w:pos="2410"/>
          <w:tab w:val="left" w:pos="3969"/>
          <w:tab w:val="left" w:pos="4111"/>
          <w:tab w:val="left" w:pos="4253"/>
        </w:tabs>
        <w:autoSpaceDN w:val="0"/>
        <w:spacing w:after="200" w:line="240" w:lineRule="auto"/>
        <w:ind w:right="595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72692">
        <w:rPr>
          <w:rFonts w:ascii="Times New Roman" w:eastAsia="Calibri" w:hAnsi="Times New Roman" w:cs="Times New Roman"/>
          <w:b/>
          <w:sz w:val="24"/>
          <w:szCs w:val="24"/>
        </w:rPr>
        <w:t>Про відкриття дисциплінарної справи стосовно судді</w:t>
      </w:r>
      <w:r w:rsidRPr="00872692">
        <w:rPr>
          <w:rFonts w:ascii="Calibri" w:eastAsia="Calibri" w:hAnsi="Calibri" w:cs="Times New Roman"/>
        </w:rPr>
        <w:t xml:space="preserve"> </w:t>
      </w:r>
      <w:r w:rsidRPr="00872692">
        <w:rPr>
          <w:rFonts w:ascii="Times New Roman" w:eastAsia="Calibri" w:hAnsi="Times New Roman" w:cs="Times New Roman"/>
          <w:b/>
          <w:sz w:val="24"/>
          <w:szCs w:val="24"/>
        </w:rPr>
        <w:t xml:space="preserve">Окружного адміністративного суду міста Києва Костенка Д.А. </w:t>
      </w:r>
    </w:p>
    <w:p w:rsidR="00872692" w:rsidRPr="00872692" w:rsidRDefault="00872692" w:rsidP="00872692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Перша Дисциплінарна палата Вищої ради правосуддя у складі головуючого –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Маловацького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О.В., членів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Краснощокової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Н.С.,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Розваляєвої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Т.С., Шелест С.Б., розглянувши висновок доповідача – члена Першої Дисциплінарної палати Вищої ради правосуддя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Шапрана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В.В. за результатами попередньої перевірки дисциплінарної скарги Товариства з обмеженою відповідальністю «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Олеська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», поданої адвокатом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Бутовичем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Сергієм Олеговичем, стосовно судді Окружного адміністративного суду міста Києва Костенка Дмитра Анатолійовича,     </w:t>
      </w:r>
    </w:p>
    <w:p w:rsidR="00872692" w:rsidRPr="00872692" w:rsidRDefault="00872692" w:rsidP="00872692">
      <w:pPr>
        <w:tabs>
          <w:tab w:val="center" w:pos="4819"/>
          <w:tab w:val="left" w:pos="7155"/>
          <w:tab w:val="left" w:pos="7575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72692">
        <w:rPr>
          <w:rFonts w:ascii="Times New Roman" w:eastAsia="Calibri" w:hAnsi="Times New Roman" w:cs="Times New Roman"/>
          <w:b/>
          <w:sz w:val="28"/>
          <w:szCs w:val="28"/>
        </w:rPr>
        <w:tab/>
        <w:t>встановила:</w:t>
      </w:r>
    </w:p>
    <w:p w:rsidR="00872692" w:rsidRPr="00872692" w:rsidRDefault="00872692" w:rsidP="00872692">
      <w:pPr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>до Вищої ради правосуддя 5 жовтня 2020 року надійшла дисциплінарна скарга Товариства з обмеженою відповідальністю «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Олеська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>» (далі – ТОВ «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Олеська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»), подана адвокатом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Бутовичем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С.М. (єдиний унікальний номер 634/1/13-20), на дії судді Окружного адміністративного суду міста Києва Костенка Д.А. під час розгляду справи № 826/5484/18. </w:t>
      </w: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ab/>
        <w:t>Автор скарги просив притягнути суддю Костенка Д.А. до дисциплінарної відповідальності за безпідставне затягування строку розгляду адміністративної справи.</w:t>
      </w:r>
    </w:p>
    <w:p w:rsidR="00872692" w:rsidRPr="00872692" w:rsidRDefault="00872692" w:rsidP="0087269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2692">
        <w:rPr>
          <w:rFonts w:ascii="Times New Roman" w:eastAsia="Calibri" w:hAnsi="Times New Roman" w:cs="Times New Roman"/>
          <w:bCs/>
          <w:sz w:val="28"/>
          <w:szCs w:val="28"/>
        </w:rPr>
        <w:t xml:space="preserve">Відповідно до протоколу автоматизованого розподілу справи між членами Вищої ради правосуддя від 5 жовтня 2020 року матеріали скарги передано члену Вищої ради правосуддя </w:t>
      </w:r>
      <w:proofErr w:type="spellStart"/>
      <w:r w:rsidRPr="00872692">
        <w:rPr>
          <w:rFonts w:ascii="Times New Roman" w:eastAsia="Calibri" w:hAnsi="Times New Roman" w:cs="Times New Roman"/>
          <w:bCs/>
          <w:sz w:val="28"/>
          <w:szCs w:val="28"/>
        </w:rPr>
        <w:t>Шапрану</w:t>
      </w:r>
      <w:proofErr w:type="spellEnd"/>
      <w:r w:rsidRPr="00872692">
        <w:rPr>
          <w:rFonts w:ascii="Times New Roman" w:eastAsia="Calibri" w:hAnsi="Times New Roman" w:cs="Times New Roman"/>
          <w:bCs/>
          <w:sz w:val="28"/>
          <w:szCs w:val="28"/>
        </w:rPr>
        <w:t xml:space="preserve"> В.В.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>Згідно із частиною першою статті 42 Закону України «Про Вищу раду правосуддя» дисциплінарне провадження розпочинається після отримання відповідно до Закону України «Про судоустрій і статус суддів» скарги щодо дисциплінарного проступку судді, повідомлення про вчинення дисциплінарного проступку суддею або після самостійного виявлення членами Вищої ради правосуддя з будь-якого джерела обставин, що можуть свідчити про вчинення суддею дисциплінарного проступку, або за ініціативою Дисциплінарної палати, Комісії з питань доброчесності та етики чи Вищої кваліфікаційної комісії суддів України у випадках, визначених законом (дисциплінарна скарга).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Відповідно до вимог статті 43 Закону України «Про Вищу раду правосуддя» доповідач – член Першої Дисциплінарної палати Вищої ради </w:t>
      </w:r>
      <w:r w:rsidRPr="008726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правосуддя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Шапран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В.В. провів попередню перевірку дисциплінарної скарги, за результатами якої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вніс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пропозицію про відкриття дисциплінарної справи стосовно судді Костенка Д.А.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Здійснивши попередню перевірку дисциплінарної скарги, заслухавши доповідача – члена Першої Дисциплінарної палати Вищої ради правосуддя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Шапрана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В.В., Перша Дисциплінарна палата Вищої ради правосуддя дійшла висновку про наявність підстав для відкриття дисциплінарної справи стосовно судді Окружного адміністративного суду міста Києва Костенка Д.А. з огляду на таке. </w:t>
      </w: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ab/>
        <w:t>3 квітня 2018 року до Окружного адміністративного суду міста Києва надійшла позовна заява ТОВ «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Олеська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>» до Департаменту містобудування та архітектури виконавчого органу Київської міської ради (Київська міська державна адміністрація) про визнання незаконною дії суб’єкта владних повноважень про відмову у наданні містобудівних умов та обмежень, зобов’язання вчинити певні дії.</w:t>
      </w: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ab/>
        <w:t>Відповідно до протоколу автоматизованого розподілу судової справи між суддями від 4 квітня 2018 року позовну заяву (справа № 826/5484/18) передано судді Костенку Д.А.</w:t>
      </w: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ab/>
        <w:t>Ухвалою Окружного адміністративного суду міста Києва від 12 квітня             2018 року (суддя Костенко Д.А.)  відкрито провадження в адміністративній справі № 826/5484/18 та визначено здійснювати розгляд за правилами спрощеного позовного провадження без повідомлення сторін.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872692">
        <w:rPr>
          <w:rFonts w:ascii="Times New Roman" w:hAnsi="Times New Roman"/>
          <w:sz w:val="28"/>
        </w:rPr>
        <w:t xml:space="preserve">Станом на час проведення попередньої перевірки в Єдиному державному реєстрі судових рішень відсутні будь-які судові рішення, окрім ухвали від                   4 квітня 2018 року про відкриття провадження у справі </w:t>
      </w:r>
      <w:r w:rsidRPr="00872692">
        <w:rPr>
          <w:rFonts w:ascii="Times New Roman" w:hAnsi="Times New Roman"/>
          <w:color w:val="000000"/>
          <w:sz w:val="28"/>
          <w:lang w:eastAsia="uk-UA" w:bidi="uk-UA"/>
        </w:rPr>
        <w:t>№ 826/5484/18</w:t>
      </w:r>
      <w:r w:rsidRPr="00872692">
        <w:rPr>
          <w:rFonts w:ascii="Times New Roman" w:hAnsi="Times New Roman"/>
          <w:sz w:val="28"/>
        </w:rPr>
        <w:t>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hAnsi="Times New Roman"/>
          <w:sz w:val="28"/>
        </w:rPr>
        <w:t xml:space="preserve">Відповідно до даних офіційного </w:t>
      </w:r>
      <w:proofErr w:type="spellStart"/>
      <w:r w:rsidRPr="00872692">
        <w:rPr>
          <w:rFonts w:ascii="Times New Roman" w:hAnsi="Times New Roman"/>
          <w:sz w:val="28"/>
        </w:rPr>
        <w:t>вебпорталу</w:t>
      </w:r>
      <w:proofErr w:type="spellEnd"/>
      <w:r w:rsidRPr="00872692">
        <w:rPr>
          <w:rFonts w:ascii="Times New Roman" w:hAnsi="Times New Roman"/>
          <w:sz w:val="28"/>
        </w:rPr>
        <w:t xml:space="preserve"> «Судова влада України» на час проведення перевірки судове рішення у справі </w:t>
      </w:r>
      <w:r w:rsidRPr="00872692">
        <w:rPr>
          <w:rFonts w:ascii="Times New Roman" w:eastAsia="Calibri" w:hAnsi="Times New Roman" w:cs="Times New Roman"/>
          <w:sz w:val="28"/>
          <w:szCs w:val="28"/>
        </w:rPr>
        <w:t>№ 826/5484/18 не ухвалене.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Членом Першої Дисциплінарної палати Вищої ради правосуддя   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Шапраном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 В.В. запропоновано судді Костенку Д.А. надати пояснення з приводу тривалого перебування у його провадженні справи № 826/5484/18, однак суддя таких пояснень не надав.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872692">
        <w:rPr>
          <w:rFonts w:ascii="Times New Roman" w:hAnsi="Times New Roman"/>
          <w:sz w:val="28"/>
        </w:rPr>
        <w:t>Відповідно до частини другої статті 263 Кодексу адміністративного судочинства України (далі – КАС України) суд розглядає справи  за правилами спрощеного позовного провадження без повідомлення учасників справи (у письмовому провадженні) у строк не більше тридцяти днів з дня відкриття провадження у справі.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872692">
        <w:rPr>
          <w:rFonts w:ascii="Times New Roman" w:hAnsi="Times New Roman"/>
          <w:sz w:val="28"/>
        </w:rPr>
        <w:t>Нормами КАС України визначено, що однією з основних засад (принципів) адміністративного судочинства є, зокрема, розумність строків розгляду справи судом. Розумний строк – найкоротший строк розгляду і вирішення адміністративної справи, достатній для надання своєчасного (без невиправданих зволікань) судового захисту порушених прав, свобод та інтересів у публічно-правових відносинах.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72692">
        <w:rPr>
          <w:rFonts w:ascii="Times New Roman" w:hAnsi="Times New Roman"/>
          <w:sz w:val="28"/>
          <w:szCs w:val="28"/>
          <w:shd w:val="clear" w:color="auto" w:fill="FFFFFF"/>
        </w:rPr>
        <w:t>Також частиною другою статті 119 КАС України встановлено, що строк є розумним, якщо він передбачає час, достатній, з урахуванням обставин справи, для вчинення процесуальної дії, та відповідає завданню адміністративного судочинства.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Попередньою перевіркою встановлено, що справа перебуває на розгляді судді Костенка Д.А. з 12 квітня 2018 року і дотепер, усього станом на момент перевірки скарги – 2 роки 7 місяців. 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Отже, розгляд справи № 826/5484/18 здійснюється суддею Костенком Д.А. поза межами строків, визначених КАС України.     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872692">
        <w:rPr>
          <w:rFonts w:ascii="Times New Roman" w:hAnsi="Times New Roman"/>
          <w:sz w:val="28"/>
        </w:rPr>
        <w:t>Частиною сьомою статті 56 Закону України «Про судоустрій і статус суддів» визначено, що суддя зобов’язаний справедливо, безсторонньо та  своєчасно розглядати і вирішувати судові справи відповідно до закону з дотриманням засад і правил судочинства.</w:t>
      </w:r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2692">
        <w:rPr>
          <w:rFonts w:ascii="Times New Roman" w:hAnsi="Times New Roman"/>
          <w:sz w:val="28"/>
        </w:rPr>
        <w:t xml:space="preserve">Згідно з пунктом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провадження, зокрема, </w:t>
      </w:r>
      <w:r w:rsidRPr="00872692">
        <w:rPr>
          <w:rFonts w:ascii="Times New Roman" w:hAnsi="Times New Roman"/>
          <w:sz w:val="28"/>
          <w:szCs w:val="28"/>
          <w:lang w:eastAsia="ru-RU"/>
        </w:rPr>
        <w:t>за невжиття суддею заходів щодо розгляду справи протягом строку, встановленого законом.</w:t>
      </w:r>
    </w:p>
    <w:p w:rsidR="00872692" w:rsidRPr="00872692" w:rsidRDefault="00872692" w:rsidP="008726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відомостей, викладених у </w:t>
      </w:r>
      <w:r w:rsidRPr="00872692">
        <w:rPr>
          <w:rFonts w:ascii="Times New Roman" w:eastAsia="Calibri" w:hAnsi="Times New Roman" w:cs="Times New Roman"/>
          <w:bCs/>
          <w:sz w:val="28"/>
          <w:szCs w:val="28"/>
        </w:rPr>
        <w:t>дисциплінарній скарзі</w:t>
      </w:r>
      <w:r w:rsidRPr="00872692">
        <w:rPr>
          <w:rFonts w:ascii="Calibri" w:eastAsia="Calibri" w:hAnsi="Calibri" w:cs="Times New Roman"/>
        </w:rPr>
        <w:t xml:space="preserve"> </w:t>
      </w:r>
      <w:r w:rsidRPr="00872692">
        <w:rPr>
          <w:rFonts w:ascii="Times New Roman" w:eastAsia="Calibri" w:hAnsi="Times New Roman" w:cs="Times New Roman"/>
          <w:sz w:val="28"/>
          <w:szCs w:val="28"/>
        </w:rPr>
        <w:t>ТОВ «</w:t>
      </w:r>
      <w:proofErr w:type="spellStart"/>
      <w:r w:rsidRPr="00872692">
        <w:rPr>
          <w:rFonts w:ascii="Times New Roman" w:eastAsia="Calibri" w:hAnsi="Times New Roman" w:cs="Times New Roman"/>
          <w:sz w:val="28"/>
          <w:szCs w:val="28"/>
        </w:rPr>
        <w:t>Олеська</w:t>
      </w:r>
      <w:proofErr w:type="spellEnd"/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» стосовно судді Окружного адміністративного суду міста Києва Костенка Д.А., встановлено обставини, які можуть свідчити про наявність у діях цього судді ознак дисциплінарного проступку, передбаченого пунктом 2 частини першої статті 106 Закону України «Про судоустрій і статус суддів» </w:t>
      </w:r>
      <w:r w:rsidRPr="0087269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72692">
        <w:rPr>
          <w:rFonts w:ascii="Times New Roman" w:eastAsia="Calibri" w:hAnsi="Times New Roman" w:cs="Times New Roman"/>
          <w:sz w:val="28"/>
        </w:rPr>
        <w:t>невжиття суддею заходів щодо розгляду справи протягом строку, встановленого законом</w:t>
      </w:r>
      <w:r w:rsidRPr="008726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72692">
        <w:rPr>
          <w:rFonts w:ascii="Times New Roman" w:eastAsia="Calibri" w:hAnsi="Times New Roman" w:cs="Times New Roman"/>
          <w:sz w:val="28"/>
          <w:szCs w:val="28"/>
        </w:rPr>
        <w:t>, тому є підстави для відкриття дисциплінарної справи стосовно вказаного судді.</w:t>
      </w:r>
    </w:p>
    <w:p w:rsidR="00872692" w:rsidRPr="00872692" w:rsidRDefault="00872692" w:rsidP="00872692">
      <w:pPr>
        <w:tabs>
          <w:tab w:val="left" w:pos="220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>Перша Дисциплінарна палата Вищої ради правосуддя, враховуючи викладені обставини, керуючись статтею 46 Закону України «Про Вищу раду правосуддя», статтею 106 Закону України «Про судоустрій і статус суддів», пунктом 12.12 Регламенту Вищої ради правосуддя,</w:t>
      </w:r>
    </w:p>
    <w:p w:rsidR="00872692" w:rsidRPr="00872692" w:rsidRDefault="00872692" w:rsidP="00872692">
      <w:pPr>
        <w:tabs>
          <w:tab w:val="left" w:pos="220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2692" w:rsidRPr="00872692" w:rsidRDefault="00872692" w:rsidP="00872692">
      <w:pPr>
        <w:tabs>
          <w:tab w:val="left" w:pos="2205"/>
        </w:tabs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87269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ухвалила:</w:t>
      </w:r>
    </w:p>
    <w:p w:rsidR="00872692" w:rsidRPr="00872692" w:rsidRDefault="00872692" w:rsidP="00872692">
      <w:pPr>
        <w:tabs>
          <w:tab w:val="left" w:pos="220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2692" w:rsidRPr="00872692" w:rsidRDefault="00872692" w:rsidP="00872692">
      <w:pPr>
        <w:tabs>
          <w:tab w:val="left" w:pos="2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відкрити дисциплінарну справу стосовно судді Окружного адміністративного суду міста Києва Костенка Дмитра Анатолійовича. </w:t>
      </w:r>
    </w:p>
    <w:p w:rsidR="00872692" w:rsidRPr="00872692" w:rsidRDefault="00872692" w:rsidP="00872692">
      <w:pPr>
        <w:tabs>
          <w:tab w:val="left" w:pos="220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692">
        <w:rPr>
          <w:rFonts w:ascii="Times New Roman" w:eastAsia="Calibri" w:hAnsi="Times New Roman" w:cs="Times New Roman"/>
          <w:sz w:val="28"/>
          <w:szCs w:val="28"/>
        </w:rPr>
        <w:t xml:space="preserve">Ухвала оскарженню не підлягає. </w:t>
      </w:r>
    </w:p>
    <w:p w:rsidR="00872692" w:rsidRPr="00872692" w:rsidRDefault="00872692" w:rsidP="00872692">
      <w:pPr>
        <w:tabs>
          <w:tab w:val="left" w:pos="220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2692" w:rsidRPr="00872692" w:rsidRDefault="00872692" w:rsidP="00872692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Першої Дисциплінарної палати</w:t>
      </w: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Вищої ради правосуддя              </w:t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               </w:t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О.В. </w:t>
      </w:r>
      <w:proofErr w:type="spellStart"/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Маловацький</w:t>
      </w:r>
      <w:proofErr w:type="spellEnd"/>
    </w:p>
    <w:p w:rsidR="00872692" w:rsidRPr="00872692" w:rsidRDefault="00872692" w:rsidP="00872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Першої Дисциплінарної </w:t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Н.С. </w:t>
      </w:r>
      <w:proofErr w:type="spellStart"/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Краснощокова</w:t>
      </w:r>
      <w:proofErr w:type="spellEnd"/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872692" w:rsidRPr="00872692" w:rsidRDefault="00872692" w:rsidP="00872692">
      <w:pPr>
        <w:spacing w:after="0" w:line="240" w:lineRule="auto"/>
        <w:ind w:left="6372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Т.С. </w:t>
      </w:r>
      <w:proofErr w:type="spellStart"/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Розваляєва</w:t>
      </w:r>
      <w:proofErr w:type="spellEnd"/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2692" w:rsidRPr="00872692" w:rsidRDefault="00872692" w:rsidP="008726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22247" w:rsidRDefault="00872692" w:rsidP="00872692">
      <w:pPr>
        <w:spacing w:after="0" w:line="240" w:lineRule="auto"/>
        <w:jc w:val="both"/>
      </w:pP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26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С.Б. Шелест</w:t>
      </w:r>
      <w:r w:rsidRPr="008726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sectPr w:rsidR="00922247" w:rsidSect="008F4026">
      <w:headerReference w:type="default" r:id="rId5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FFC" w:rsidRDefault="0087269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742FFC" w:rsidRDefault="008726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92"/>
    <w:rsid w:val="00872692"/>
    <w:rsid w:val="0092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A965"/>
  <w15:chartTrackingRefBased/>
  <w15:docId w15:val="{C07D866A-5273-4897-A0EF-BA3FA630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692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8726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4622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2020-11-16T08:50:00Z</dcterms:created>
  <dcterms:modified xsi:type="dcterms:W3CDTF">2020-11-16T08:53:00Z</dcterms:modified>
</cp:coreProperties>
</file>