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4F9" w:rsidRPr="00B8354A" w:rsidRDefault="00FB24F9" w:rsidP="00FB24F9">
      <w:pPr>
        <w:rPr>
          <w:rFonts w:ascii="Times New Roman" w:hAnsi="Times New Roman" w:cs="Times New Roman"/>
        </w:rPr>
      </w:pPr>
    </w:p>
    <w:p w:rsidR="00FB24F9" w:rsidRPr="00B8354A" w:rsidRDefault="00FB24F9" w:rsidP="00FB24F9">
      <w:pPr>
        <w:rPr>
          <w:rFonts w:ascii="Times New Roman" w:hAnsi="Times New Roman" w:cs="Times New Roman"/>
        </w:rPr>
      </w:pPr>
    </w:p>
    <w:p w:rsidR="00FB24F9" w:rsidRPr="00B8354A" w:rsidRDefault="00FB24F9" w:rsidP="00FB24F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</w:rPr>
      </w:pPr>
    </w:p>
    <w:p w:rsidR="00FB24F9" w:rsidRPr="00B8354A" w:rsidRDefault="00FB24F9" w:rsidP="00FB24F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</w:rPr>
      </w:pPr>
    </w:p>
    <w:p w:rsidR="00FB24F9" w:rsidRPr="00FB24F9" w:rsidRDefault="00FB24F9" w:rsidP="00FB24F9">
      <w:pPr>
        <w:spacing w:before="360" w:after="60"/>
        <w:jc w:val="center"/>
        <w:rPr>
          <w:rFonts w:ascii="AcademyC" w:eastAsia="Calibri" w:hAnsi="AcademyC" w:cs="Times New Roman"/>
          <w:b/>
          <w:color w:val="002060"/>
          <w:sz w:val="20"/>
          <w:szCs w:val="20"/>
          <w:lang w:eastAsia="en-US"/>
        </w:rPr>
      </w:pPr>
      <w:r w:rsidRPr="00FB24F9">
        <w:rPr>
          <w:rFonts w:ascii="AcademyC" w:hAnsi="AcademyC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24F9">
        <w:rPr>
          <w:rFonts w:ascii="AcademyC" w:eastAsia="Calibri" w:hAnsi="AcademyC" w:cs="Times New Roman"/>
          <w:b/>
          <w:color w:val="002060"/>
          <w:sz w:val="20"/>
          <w:szCs w:val="20"/>
          <w:lang w:eastAsia="en-US"/>
        </w:rPr>
        <w:t>УКРАЇНА</w:t>
      </w:r>
    </w:p>
    <w:p w:rsidR="00FB24F9" w:rsidRPr="00B8354A" w:rsidRDefault="00FB24F9" w:rsidP="00FB24F9">
      <w:pPr>
        <w:spacing w:after="60"/>
        <w:jc w:val="center"/>
        <w:rPr>
          <w:rFonts w:ascii="AcademyC" w:eastAsia="Calibri" w:hAnsi="AcademyC" w:cs="Times New Roman"/>
          <w:b/>
          <w:color w:val="002060"/>
          <w:sz w:val="28"/>
          <w:lang w:eastAsia="en-US"/>
        </w:rPr>
      </w:pPr>
      <w:r w:rsidRPr="00B8354A">
        <w:rPr>
          <w:rFonts w:ascii="AcademyC" w:eastAsia="Calibri" w:hAnsi="AcademyC" w:cs="Times New Roman"/>
          <w:b/>
          <w:color w:val="002060"/>
          <w:sz w:val="28"/>
          <w:lang w:eastAsia="en-US"/>
        </w:rPr>
        <w:t>ВИЩА  РАДА  ПРАВОСУДДЯ</w:t>
      </w:r>
    </w:p>
    <w:p w:rsidR="00FB24F9" w:rsidRPr="00B8354A" w:rsidRDefault="00FB24F9" w:rsidP="00FB24F9">
      <w:pPr>
        <w:spacing w:after="240"/>
        <w:jc w:val="center"/>
        <w:rPr>
          <w:rFonts w:ascii="AcademyC" w:eastAsia="Calibri" w:hAnsi="AcademyC" w:cs="Times New Roman"/>
          <w:b/>
          <w:color w:val="002060"/>
          <w:sz w:val="28"/>
          <w:lang w:eastAsia="en-US"/>
        </w:rPr>
      </w:pPr>
      <w:r w:rsidRPr="00B8354A">
        <w:rPr>
          <w:rFonts w:ascii="AcademyC" w:eastAsia="Calibri" w:hAnsi="AcademyC" w:cs="Times New Roman"/>
          <w:b/>
          <w:color w:val="002060"/>
          <w:sz w:val="28"/>
          <w:lang w:eastAsia="en-US"/>
        </w:rPr>
        <w:t>РІШЕННЯ</w:t>
      </w:r>
    </w:p>
    <w:tbl>
      <w:tblPr>
        <w:tblW w:w="12672" w:type="dxa"/>
        <w:tblLook w:val="04A0"/>
      </w:tblPr>
      <w:tblGrid>
        <w:gridCol w:w="3369"/>
        <w:gridCol w:w="3543"/>
        <w:gridCol w:w="5760"/>
      </w:tblGrid>
      <w:tr w:rsidR="00FB24F9" w:rsidRPr="00B8354A" w:rsidTr="005A5A60">
        <w:trPr>
          <w:trHeight w:val="188"/>
        </w:trPr>
        <w:tc>
          <w:tcPr>
            <w:tcW w:w="3369" w:type="dxa"/>
            <w:hideMark/>
          </w:tcPr>
          <w:p w:rsidR="00FB24F9" w:rsidRPr="00B8354A" w:rsidRDefault="00FB24F9" w:rsidP="005A5A60">
            <w:pPr>
              <w:spacing w:after="200"/>
              <w:ind w:right="-2"/>
              <w:rPr>
                <w:rFonts w:ascii="Times New Roman" w:eastAsia="Calibri" w:hAnsi="Times New Roman" w:cs="Times New Roman"/>
                <w:b/>
                <w:noProof/>
                <w:color w:val="000000"/>
                <w:sz w:val="27"/>
                <w:szCs w:val="27"/>
                <w:lang w:eastAsia="en-US"/>
              </w:rPr>
            </w:pPr>
          </w:p>
          <w:p w:rsidR="00FB24F9" w:rsidRPr="00B8354A" w:rsidRDefault="00FB24F9" w:rsidP="005A5A60">
            <w:pPr>
              <w:spacing w:after="200"/>
              <w:ind w:right="-2"/>
              <w:rPr>
                <w:rFonts w:ascii="Times New Roman" w:eastAsia="Calibri" w:hAnsi="Times New Roman" w:cs="Times New Roman"/>
                <w:b/>
                <w:noProof/>
                <w:color w:val="000000"/>
                <w:sz w:val="27"/>
                <w:szCs w:val="27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000000"/>
                <w:sz w:val="27"/>
                <w:szCs w:val="27"/>
                <w:lang w:eastAsia="en-US"/>
              </w:rPr>
              <w:t>1</w:t>
            </w:r>
            <w:r w:rsidRPr="00B8354A">
              <w:rPr>
                <w:rFonts w:ascii="Times New Roman" w:eastAsia="Calibri" w:hAnsi="Times New Roman" w:cs="Times New Roman"/>
                <w:b/>
                <w:noProof/>
                <w:color w:val="000000"/>
                <w:sz w:val="27"/>
                <w:szCs w:val="27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b/>
                <w:noProof/>
                <w:color w:val="000000"/>
                <w:sz w:val="27"/>
                <w:szCs w:val="27"/>
                <w:lang w:val="en-US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noProof/>
                <w:color w:val="000000"/>
                <w:sz w:val="27"/>
                <w:szCs w:val="27"/>
                <w:lang w:eastAsia="en-US"/>
              </w:rPr>
              <w:t>листопада</w:t>
            </w:r>
            <w:r w:rsidRPr="00B8354A">
              <w:rPr>
                <w:rFonts w:ascii="Times New Roman" w:eastAsia="Calibri" w:hAnsi="Times New Roman" w:cs="Times New Roman"/>
                <w:b/>
                <w:noProof/>
                <w:color w:val="000000"/>
                <w:sz w:val="27"/>
                <w:szCs w:val="27"/>
                <w:lang w:eastAsia="en-US"/>
              </w:rPr>
              <w:t xml:space="preserve"> 2020 року </w:t>
            </w:r>
          </w:p>
        </w:tc>
        <w:tc>
          <w:tcPr>
            <w:tcW w:w="3543" w:type="dxa"/>
            <w:hideMark/>
          </w:tcPr>
          <w:p w:rsidR="00FB24F9" w:rsidRPr="00B8354A" w:rsidRDefault="00FB24F9" w:rsidP="005A5A60">
            <w:pPr>
              <w:spacing w:after="200"/>
              <w:ind w:right="-2" w:hanging="109"/>
              <w:rPr>
                <w:rFonts w:ascii="Times New Roman" w:eastAsia="Calibri" w:hAnsi="Times New Roman" w:cs="Times New Roman"/>
                <w:b/>
                <w:noProof/>
                <w:color w:val="000000"/>
                <w:sz w:val="27"/>
                <w:szCs w:val="27"/>
                <w:lang w:eastAsia="en-US"/>
              </w:rPr>
            </w:pPr>
            <w:r w:rsidRPr="00B8354A">
              <w:rPr>
                <w:rFonts w:ascii="Times New Roman" w:eastAsia="Calibri" w:hAnsi="Times New Roman" w:cs="Times New Roman"/>
                <w:b/>
                <w:color w:val="000000"/>
                <w:sz w:val="27"/>
                <w:szCs w:val="27"/>
                <w:lang w:eastAsia="en-US"/>
              </w:rPr>
              <w:t xml:space="preserve">                 Київ</w:t>
            </w:r>
          </w:p>
        </w:tc>
        <w:tc>
          <w:tcPr>
            <w:tcW w:w="5760" w:type="dxa"/>
            <w:hideMark/>
          </w:tcPr>
          <w:p w:rsidR="00FB24F9" w:rsidRPr="00B8354A" w:rsidRDefault="00FB24F9" w:rsidP="005A5A60">
            <w:pPr>
              <w:spacing w:after="200"/>
              <w:ind w:left="459" w:right="-2"/>
              <w:rPr>
                <w:rFonts w:ascii="Times New Roman" w:eastAsia="Calibri" w:hAnsi="Times New Roman" w:cs="Times New Roman"/>
                <w:b/>
                <w:color w:val="000000"/>
                <w:sz w:val="27"/>
                <w:szCs w:val="27"/>
                <w:lang w:eastAsia="en-US"/>
              </w:rPr>
            </w:pPr>
            <w:r w:rsidRPr="00B8354A">
              <w:rPr>
                <w:rFonts w:ascii="Times New Roman" w:eastAsia="Calibri" w:hAnsi="Times New Roman" w:cs="Times New Roman"/>
                <w:b/>
                <w:color w:val="000000"/>
                <w:sz w:val="27"/>
                <w:szCs w:val="27"/>
                <w:lang w:eastAsia="en-US"/>
              </w:rPr>
              <w:t xml:space="preserve">      </w:t>
            </w:r>
          </w:p>
          <w:p w:rsidR="00FB24F9" w:rsidRPr="00B8354A" w:rsidRDefault="00FB24F9" w:rsidP="005A5A60">
            <w:pPr>
              <w:spacing w:after="200"/>
              <w:ind w:left="459" w:right="-2"/>
              <w:rPr>
                <w:rFonts w:ascii="Times New Roman" w:eastAsia="Calibri" w:hAnsi="Times New Roman" w:cs="Times New Roman"/>
                <w:b/>
                <w:noProof/>
                <w:color w:val="000000"/>
                <w:sz w:val="27"/>
                <w:szCs w:val="27"/>
                <w:lang w:eastAsia="en-US"/>
              </w:rPr>
            </w:pPr>
            <w:r w:rsidRPr="00B8354A">
              <w:rPr>
                <w:rFonts w:ascii="Times New Roman" w:eastAsia="Calibri" w:hAnsi="Times New Roman" w:cs="Times New Roman"/>
                <w:b/>
                <w:color w:val="000000"/>
                <w:sz w:val="27"/>
                <w:szCs w:val="27"/>
                <w:lang w:eastAsia="en-US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7"/>
                <w:szCs w:val="27"/>
                <w:lang w:eastAsia="en-US"/>
              </w:rPr>
              <w:t>3145</w:t>
            </w:r>
            <w:r w:rsidRPr="00B8354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/0/15-20</w:t>
            </w:r>
            <w:r w:rsidRPr="00B8354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FB24F9" w:rsidRPr="00B8354A" w:rsidRDefault="00FB24F9" w:rsidP="00FB24F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721" w:type="dxa"/>
        <w:tblLayout w:type="fixed"/>
        <w:tblLook w:val="0000"/>
      </w:tblPr>
      <w:tblGrid>
        <w:gridCol w:w="4644"/>
        <w:gridCol w:w="4077"/>
      </w:tblGrid>
      <w:tr w:rsidR="00FB24F9" w:rsidRPr="00B8354A" w:rsidTr="005A5A60">
        <w:tc>
          <w:tcPr>
            <w:tcW w:w="4644" w:type="dxa"/>
          </w:tcPr>
          <w:tbl>
            <w:tblPr>
              <w:tblpPr w:leftFromText="180" w:rightFromText="180" w:vertAnchor="text" w:horzAnchor="margin" w:tblpY="8"/>
              <w:tblW w:w="8938" w:type="dxa"/>
              <w:tblLayout w:type="fixed"/>
              <w:tblLook w:val="04A0"/>
            </w:tblPr>
            <w:tblGrid>
              <w:gridCol w:w="4759"/>
              <w:gridCol w:w="4179"/>
            </w:tblGrid>
            <w:tr w:rsidR="00FB24F9" w:rsidRPr="0086772A" w:rsidTr="00FB24F9">
              <w:trPr>
                <w:trHeight w:val="442"/>
              </w:trPr>
              <w:tc>
                <w:tcPr>
                  <w:tcW w:w="4759" w:type="dxa"/>
                  <w:hideMark/>
                </w:tcPr>
                <w:p w:rsidR="00FB24F9" w:rsidRPr="00146C2A" w:rsidRDefault="00FB24F9" w:rsidP="00870AE4">
                  <w:pPr>
                    <w:pStyle w:val="10"/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Про фахове</w:t>
                  </w:r>
                  <w:r w:rsidRPr="00146C2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обговорення </w:t>
                  </w:r>
                  <w:proofErr w:type="spellStart"/>
                  <w:r w:rsidRPr="00146C2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законопроєктів</w:t>
                  </w:r>
                  <w:proofErr w:type="spellEnd"/>
                  <w:r w:rsidRPr="00146C2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FB24F9" w:rsidRPr="00146C2A" w:rsidRDefault="00FB24F9" w:rsidP="00870AE4">
                  <w:pPr>
                    <w:pStyle w:val="10"/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46C2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з питань реформування судової системи</w:t>
                  </w:r>
                </w:p>
                <w:p w:rsidR="00FB24F9" w:rsidRPr="00575199" w:rsidRDefault="00FB24F9" w:rsidP="00870AE4">
                  <w:pPr>
                    <w:ind w:right="-290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4179" w:type="dxa"/>
                </w:tcPr>
                <w:p w:rsidR="00FB24F9" w:rsidRPr="00404893" w:rsidRDefault="00FB24F9" w:rsidP="00870AE4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:rsidR="00FB24F9" w:rsidRPr="00B8354A" w:rsidRDefault="00FB24F9" w:rsidP="005A5A60">
            <w:pPr>
              <w:ind w:right="-25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7" w:type="dxa"/>
          </w:tcPr>
          <w:p w:rsidR="00FB24F9" w:rsidRPr="00B8354A" w:rsidRDefault="00FB24F9" w:rsidP="005A5A60">
            <w:pPr>
              <w:ind w:left="-675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F1882" w:rsidRDefault="008F1882" w:rsidP="00FB24F9">
      <w:pPr>
        <w:pStyle w:val="1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18F8" w:rsidRDefault="00D33393">
      <w:pPr>
        <w:pStyle w:val="1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Вища рада правосуддя згідно з пунктом 15 частини першої статті 3 Закону України «Про Вищу раду правосуддя» надає обов’язкові до розгляду консультативні висновки щодо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законопроєктів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 питань утворення, реорганізації чи ліквідації судів, судоустрою і статусу суддів, узагальнює пропозиції судів, органів та установ системи правосуддя стосовно законодавства щодо їх статусу та функціонування, судоустрою і статусу суддів.</w:t>
      </w:r>
    </w:p>
    <w:p w:rsidR="005418F8" w:rsidRDefault="00D33393">
      <w:pPr>
        <w:pStyle w:val="1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Відповідно до Великої хартії суддів (Основних принципів) судді беруть участь в ухваленні всіх рішень, що впливають на функціонування судової системи (організація діяльності судів, процесуальні питання, інші законодавчі питання). Цю думку поділяє Консультативна рада європейських судів</w:t>
      </w:r>
      <w:r w:rsidR="003B6692">
        <w:rPr>
          <w:rFonts w:ascii="Times New Roman" w:eastAsia="Times New Roman" w:hAnsi="Times New Roman" w:cs="Times New Roman"/>
          <w:sz w:val="28"/>
          <w:szCs w:val="28"/>
        </w:rPr>
        <w:t xml:space="preserve"> (КРЄС)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і в своєму Висновку № 3, зазначаючи про потребу в тому, щоб із суддями можна було проводити консультації і щоб вони мали можливість брати активну участь у підготовці законодавства щодо свого статусу і, загалом, функціонування судової системи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418F8" w:rsidRDefault="005418F8">
      <w:pPr>
        <w:pStyle w:val="10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highlight w:val="white"/>
        </w:rPr>
      </w:pPr>
    </w:p>
    <w:p w:rsidR="005418F8" w:rsidRDefault="00D33393">
      <w:pPr>
        <w:pStyle w:val="1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16 жовтня 2019 року Верховна Рада України прийняла Закон України  № 193-IX «Про внесення змін до Закону України «Про судоустрій і статус суддів» та деяких законів України щодо діяльності органів суддівського врядування» (далі – Закон № 193-ІX). </w:t>
      </w:r>
    </w:p>
    <w:p w:rsidR="005418F8" w:rsidRDefault="00D33393">
      <w:pPr>
        <w:pStyle w:val="1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Пунктами 2, 3 розділу ІІ вказаного Закону визначено, що з дня набрання чинності цим Законом повноваження членів Вищої кваліфікаційної комісії суддів України  припиняються.</w:t>
      </w:r>
    </w:p>
    <w:p w:rsidR="005418F8" w:rsidRDefault="00D33393">
      <w:pPr>
        <w:pStyle w:val="1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Крім того, пунктом 8 розділу ІІ цього Закону встановлено, що процедури, які були розпочаті Вищою кваліфікаційною комісією суддів України відповідно до Закону України «Про судоустрій і статус суддів» до набрання чинності цим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Законом, продовжуються згідно з рішенням Вищої кваліфікаційної комісії суддів України, утвореної відповідно до цього Закону.</w:t>
      </w:r>
    </w:p>
    <w:p w:rsidR="005418F8" w:rsidRDefault="00D33393">
      <w:pPr>
        <w:pStyle w:val="1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Законодавець, припиняючи повноваження членів Вищої кваліфікаційної комісії суддів України, не передбачив перехідного періоду, що спричинило призупинення кадрових процесів у системі судоустрою.</w:t>
      </w:r>
    </w:p>
    <w:p w:rsidR="005418F8" w:rsidRDefault="00D33393">
      <w:pPr>
        <w:pStyle w:val="1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подальшому, 11 березня 2020 року, Конституційний Суд України Рішенням № 4-р/2020 визнав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окремі положення Закону № 193-ІХ неконституційними. Зокрема,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частину першу статті 94 (щодо порядку призначення членів Вищої кваліфікаційної комісії суддів України) визнано такою, що не відповідає Конституції України (є неконсти</w:t>
      </w:r>
      <w:r w:rsidR="003B6692">
        <w:rPr>
          <w:rFonts w:ascii="Times New Roman" w:eastAsia="Times New Roman" w:hAnsi="Times New Roman" w:cs="Times New Roman"/>
          <w:sz w:val="28"/>
          <w:szCs w:val="28"/>
          <w:highlight w:val="white"/>
        </w:rPr>
        <w:t>туційною).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Відповідно до цього рішення Верховній Раді України рекомендовано невідкладно привести положення Закону</w:t>
      </w:r>
      <w:r w:rsidR="003B66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України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66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2 червня 2016 року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1402-VIII </w:t>
      </w:r>
      <w:r w:rsidR="003B66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«Про судоустрій і статус суддів»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зі змінами, внесеними Законом </w:t>
      </w:r>
      <w:r w:rsidR="003B66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193-IX, та Закону України від 21 грудня 2016 року № 1798-VIII «Про Вищу раду правосуддя» зі змінами, внесеними Законом № 19</w:t>
      </w:r>
      <w:r w:rsidR="003B6692">
        <w:rPr>
          <w:rFonts w:ascii="Times New Roman" w:eastAsia="Times New Roman" w:hAnsi="Times New Roman" w:cs="Times New Roman"/>
          <w:color w:val="000000"/>
          <w:sz w:val="28"/>
          <w:szCs w:val="28"/>
        </w:rPr>
        <w:t>3-IX, у відповідність до цього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ішення.</w:t>
      </w:r>
    </w:p>
    <w:p w:rsidR="005418F8" w:rsidRDefault="00D33393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Необхідно зазначити, що у пункті 25 Висновку Європейської комісії </w:t>
      </w:r>
      <w:r w:rsidR="001B6A0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«За демократію через право» (Венеційська комісія) № 969/2019 щодо змін до законодавчих актів, які регулюють статус Верховного Суду та органів суддівського врядування, наголошено, що розпуск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Вищої кваліфікаційної комісії суддів України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призводить до повної зупинки процедури призначення на посади в судах першої та другої інстанцій, у яких необхідно терміново заповнити понад 2000 вакансій, оскільки деякі із цих судів взагалі не працюють через відсутність суддів. </w:t>
      </w:r>
    </w:p>
    <w:p w:rsidR="005418F8" w:rsidRDefault="00D33393">
      <w:pPr>
        <w:pStyle w:val="1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Нестача суддів, що здійснюють правосуддя, та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дефіцит кадрів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 судах є основними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проблем</w:t>
      </w:r>
      <w:r>
        <w:rPr>
          <w:rFonts w:ascii="Times New Roman" w:eastAsia="Times New Roman" w:hAnsi="Times New Roman" w:cs="Times New Roman"/>
          <w:sz w:val="28"/>
          <w:szCs w:val="28"/>
        </w:rPr>
        <w:t>ами судової гілки влади та держави в цілому, які потребують пріоритетного вирішення.</w:t>
      </w:r>
    </w:p>
    <w:p w:rsidR="005418F8" w:rsidRDefault="005418F8">
      <w:pPr>
        <w:pStyle w:val="1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18F8" w:rsidRPr="00352155" w:rsidRDefault="00D33393" w:rsidP="00352155">
      <w:pPr>
        <w:pStyle w:val="1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8D6910">
        <w:rPr>
          <w:rFonts w:ascii="Times New Roman" w:eastAsia="Times New Roman" w:hAnsi="Times New Roman" w:cs="Times New Roman"/>
          <w:sz w:val="28"/>
          <w:szCs w:val="28"/>
        </w:rPr>
        <w:t>З метою приведення положень законода</w:t>
      </w:r>
      <w:r w:rsidR="003B6692">
        <w:rPr>
          <w:rFonts w:ascii="Times New Roman" w:eastAsia="Times New Roman" w:hAnsi="Times New Roman" w:cs="Times New Roman"/>
          <w:sz w:val="28"/>
          <w:szCs w:val="28"/>
        </w:rPr>
        <w:t>вства України у відповідність до рішень</w:t>
      </w:r>
      <w:r w:rsidR="008D6910">
        <w:rPr>
          <w:rFonts w:ascii="Times New Roman" w:eastAsia="Times New Roman" w:hAnsi="Times New Roman" w:cs="Times New Roman"/>
          <w:sz w:val="28"/>
          <w:szCs w:val="28"/>
        </w:rPr>
        <w:t xml:space="preserve"> Конституційного Суду України від 18 лютого 2020 року № 2-р/2020 та від 11 березня 2020 року № 4-р/2020, а також удосконалення процедури формування та діяльності органів суддівсь</w:t>
      </w:r>
      <w:r w:rsidR="003B6692">
        <w:rPr>
          <w:rFonts w:ascii="Times New Roman" w:eastAsia="Times New Roman" w:hAnsi="Times New Roman" w:cs="Times New Roman"/>
          <w:sz w:val="28"/>
          <w:szCs w:val="28"/>
        </w:rPr>
        <w:t xml:space="preserve">кого врядування на розгляд Верховної Ради України </w:t>
      </w:r>
      <w:r w:rsidR="008D6910">
        <w:rPr>
          <w:rFonts w:ascii="Times New Roman" w:eastAsia="Times New Roman" w:hAnsi="Times New Roman" w:cs="Times New Roman"/>
          <w:sz w:val="28"/>
          <w:szCs w:val="28"/>
        </w:rPr>
        <w:t>суб’єкта</w:t>
      </w:r>
      <w:r w:rsidR="003B6692">
        <w:rPr>
          <w:rFonts w:ascii="Times New Roman" w:eastAsia="Times New Roman" w:hAnsi="Times New Roman" w:cs="Times New Roman"/>
          <w:sz w:val="28"/>
          <w:szCs w:val="28"/>
        </w:rPr>
        <w:t xml:space="preserve">ми законодавчої ініціативи </w:t>
      </w:r>
      <w:r w:rsidR="008D6910">
        <w:rPr>
          <w:rFonts w:ascii="Times New Roman" w:eastAsia="Times New Roman" w:hAnsi="Times New Roman" w:cs="Times New Roman"/>
          <w:sz w:val="28"/>
          <w:szCs w:val="28"/>
        </w:rPr>
        <w:t xml:space="preserve">внесено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внесення змін до Закону України «Про судоустрій і статус суддів» та деяких законів України щодо діяльності Верховного Суду та орга</w:t>
      </w:r>
      <w:r w:rsidR="003B6692">
        <w:rPr>
          <w:rFonts w:ascii="Times New Roman" w:eastAsia="Times New Roman" w:hAnsi="Times New Roman" w:cs="Times New Roman"/>
          <w:sz w:val="28"/>
          <w:szCs w:val="28"/>
        </w:rPr>
        <w:t>нів суддівського врядування»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від 22 червня 2020 року, реєстраційний </w:t>
      </w:r>
      <w:r w:rsidR="008909DE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B6692">
        <w:rPr>
          <w:rFonts w:ascii="Times New Roman" w:eastAsia="Times New Roman" w:hAnsi="Times New Roman" w:cs="Times New Roman"/>
          <w:sz w:val="28"/>
          <w:szCs w:val="28"/>
        </w:rPr>
        <w:t>№ 3711 (</w:t>
      </w:r>
      <w:r>
        <w:rPr>
          <w:rFonts w:ascii="Times New Roman" w:eastAsia="Times New Roman" w:hAnsi="Times New Roman" w:cs="Times New Roman"/>
          <w:sz w:val="28"/>
          <w:szCs w:val="28"/>
        </w:rPr>
        <w:t>внесений на розгляд у порядку законодавчої</w:t>
      </w:r>
      <w:r w:rsidR="003B6692">
        <w:rPr>
          <w:rFonts w:ascii="Times New Roman" w:eastAsia="Times New Roman" w:hAnsi="Times New Roman" w:cs="Times New Roman"/>
          <w:sz w:val="28"/>
          <w:szCs w:val="28"/>
        </w:rPr>
        <w:t xml:space="preserve"> ініціативи Президентом України)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альтернативні </w:t>
      </w:r>
      <w:r w:rsidR="00352155">
        <w:rPr>
          <w:rFonts w:ascii="Times New Roman" w:eastAsia="Times New Roman" w:hAnsi="Times New Roman" w:cs="Times New Roman"/>
          <w:sz w:val="28"/>
          <w:szCs w:val="28"/>
        </w:rPr>
        <w:t>законопроекти, реєстраційні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№№ 3711-1, 3711-2.  </w:t>
      </w: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Міністерством юстиції України підготовлено </w:t>
      </w:r>
      <w:proofErr w:type="spellStart"/>
      <w:r w:rsidR="00352155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="00352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акону України </w:t>
      </w:r>
      <w:r w:rsidR="003B66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«Про внесення змін до деяких законів України щодо вдосконалення порядку призначення членів Вищої ради правосуддя та підвищення інституційної спроможності Вищої ради правосуддя», </w:t>
      </w:r>
      <w:r w:rsidR="003B6692">
        <w:rPr>
          <w:rFonts w:ascii="Times New Roman" w:eastAsia="Times New Roman" w:hAnsi="Times New Roman" w:cs="Times New Roman"/>
          <w:color w:val="000000"/>
          <w:sz w:val="28"/>
          <w:szCs w:val="28"/>
        </w:rPr>
        <w:t>який надіслано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Вищої ради правосуддя лист</w:t>
      </w:r>
      <w:r w:rsidR="003B6692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1 вересн</w:t>
      </w:r>
      <w:r w:rsidR="003B6692">
        <w:rPr>
          <w:rFonts w:ascii="Times New Roman" w:eastAsia="Times New Roman" w:hAnsi="Times New Roman" w:cs="Times New Roman"/>
          <w:color w:val="000000"/>
          <w:sz w:val="28"/>
          <w:szCs w:val="28"/>
        </w:rPr>
        <w:t>я 2019 року № 6993/11.3.1/18-20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5418F8" w:rsidRDefault="00D33393">
      <w:pPr>
        <w:pStyle w:val="1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Запропоновані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законопроєктами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зміни</w:t>
      </w:r>
      <w:r w:rsidR="00352155">
        <w:rPr>
          <w:rFonts w:ascii="Times New Roman" w:eastAsia="Times New Roman" w:hAnsi="Times New Roman" w:cs="Times New Roman"/>
          <w:sz w:val="28"/>
          <w:szCs w:val="28"/>
        </w:rPr>
        <w:t>, на думку розробників,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дадуть змогу Вищій раді правосуддя сформувати Вищу кваліфікаційну комісію суддів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України та</w:t>
      </w:r>
      <w:r w:rsidR="003B669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як наслідок, запустити процес добору, кваліфікаційного оцінювання суддів і вирішувати інші питання суддівської кар’єри. </w:t>
      </w:r>
    </w:p>
    <w:p w:rsidR="005418F8" w:rsidRDefault="00352155">
      <w:pPr>
        <w:pStyle w:val="1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30 червня 2020 року </w:t>
      </w:r>
      <w:r w:rsidR="00D33393">
        <w:rPr>
          <w:rFonts w:ascii="Times New Roman" w:eastAsia="Times New Roman" w:hAnsi="Times New Roman" w:cs="Times New Roman"/>
          <w:sz w:val="28"/>
          <w:szCs w:val="28"/>
        </w:rPr>
        <w:t xml:space="preserve">Вища рада правосуддя ухвалила рішення № 2012/0/15-20 про надання консультативного висновку </w:t>
      </w:r>
      <w:r w:rsidR="00BF49D3">
        <w:rPr>
          <w:rFonts w:ascii="Times New Roman" w:eastAsia="Times New Roman" w:hAnsi="Times New Roman" w:cs="Times New Roman"/>
          <w:sz w:val="28"/>
          <w:szCs w:val="28"/>
        </w:rPr>
        <w:t>що</w:t>
      </w:r>
      <w:r w:rsidR="00D33393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proofErr w:type="spellStart"/>
      <w:r w:rsidR="00D33393">
        <w:rPr>
          <w:rFonts w:ascii="Times New Roman" w:eastAsia="Times New Roman" w:hAnsi="Times New Roman" w:cs="Times New Roman"/>
          <w:sz w:val="28"/>
          <w:szCs w:val="28"/>
        </w:rPr>
        <w:t>законопроєкту</w:t>
      </w:r>
      <w:proofErr w:type="spellEnd"/>
      <w:r w:rsidR="00D33393">
        <w:rPr>
          <w:rFonts w:ascii="Times New Roman" w:eastAsia="Times New Roman" w:hAnsi="Times New Roman" w:cs="Times New Roman"/>
          <w:sz w:val="28"/>
          <w:szCs w:val="28"/>
        </w:rPr>
        <w:t xml:space="preserve"> № 3711, яким в цілому підтримала</w:t>
      </w:r>
      <w:r w:rsidR="00BF49D3">
        <w:rPr>
          <w:rFonts w:ascii="Times New Roman" w:eastAsia="Times New Roman" w:hAnsi="Times New Roman" w:cs="Times New Roman"/>
          <w:sz w:val="28"/>
          <w:szCs w:val="28"/>
        </w:rPr>
        <w:t xml:space="preserve"> цей</w:t>
      </w:r>
      <w:r w:rsidR="00D333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49D3">
        <w:rPr>
          <w:rFonts w:ascii="Times New Roman" w:eastAsia="Times New Roman" w:hAnsi="Times New Roman" w:cs="Times New Roman"/>
          <w:sz w:val="28"/>
          <w:szCs w:val="28"/>
        </w:rPr>
        <w:t>законопроект, зазначивши про необхідність</w:t>
      </w:r>
      <w:r w:rsidR="00D33393">
        <w:rPr>
          <w:rFonts w:ascii="Times New Roman" w:eastAsia="Times New Roman" w:hAnsi="Times New Roman" w:cs="Times New Roman"/>
          <w:sz w:val="28"/>
          <w:szCs w:val="28"/>
        </w:rPr>
        <w:t xml:space="preserve"> доопрацювання його окремих положень.</w:t>
      </w:r>
    </w:p>
    <w:p w:rsidR="005418F8" w:rsidRDefault="00BF49D3">
      <w:pPr>
        <w:pStyle w:val="10"/>
        <w:widowControl w:val="0"/>
        <w:spacing w:line="240" w:lineRule="auto"/>
        <w:ind w:right="-2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14 липня </w:t>
      </w:r>
      <w:r w:rsidR="00D33393">
        <w:rPr>
          <w:rFonts w:ascii="Times New Roman" w:eastAsia="Times New Roman" w:hAnsi="Times New Roman" w:cs="Times New Roman"/>
          <w:sz w:val="28"/>
          <w:szCs w:val="28"/>
        </w:rPr>
        <w:t xml:space="preserve">2020 року Вища рада правосуддя ухвалила рішення </w:t>
      </w:r>
      <w:r w:rsidR="00352155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D33393">
        <w:rPr>
          <w:rFonts w:ascii="Times New Roman" w:eastAsia="Times New Roman" w:hAnsi="Times New Roman" w:cs="Times New Roman"/>
          <w:sz w:val="28"/>
          <w:szCs w:val="28"/>
        </w:rPr>
        <w:t>№ 2127/0/15-20, № 2128/0/15-20 про надання консультативних виснов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ків щодо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законів України</w:t>
      </w:r>
      <w:r w:rsidR="00D33393">
        <w:rPr>
          <w:rFonts w:ascii="Times New Roman" w:eastAsia="Times New Roman" w:hAnsi="Times New Roman" w:cs="Times New Roman"/>
          <w:sz w:val="28"/>
          <w:szCs w:val="28"/>
        </w:rPr>
        <w:t xml:space="preserve"> № 3711-1, № 3711-2, якими не підтримала їх прийняття.</w:t>
      </w:r>
    </w:p>
    <w:p w:rsidR="005418F8" w:rsidRDefault="00D33393" w:rsidP="00BF49D3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Вища рада правосуддя 8 вересня 2020 року ухвалила рішення </w:t>
      </w:r>
      <w:r w:rsidR="00BF49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2584/0/15-2 про надання консультативного висновку щодо</w:t>
      </w:r>
      <w:r w:rsidR="004224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224B2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законопроє</w:t>
      </w:r>
      <w:r w:rsidR="00BF49D3">
        <w:rPr>
          <w:rFonts w:ascii="Times New Roman" w:eastAsia="Times New Roman" w:hAnsi="Times New Roman" w:cs="Times New Roman"/>
          <w:color w:val="000000"/>
          <w:sz w:val="28"/>
          <w:szCs w:val="28"/>
        </w:rPr>
        <w:t>ктів</w:t>
      </w:r>
      <w:proofErr w:type="spellEnd"/>
      <w:r w:rsidR="00BF49D3">
        <w:rPr>
          <w:rFonts w:ascii="Times New Roman" w:eastAsia="Times New Roman" w:hAnsi="Times New Roman" w:cs="Times New Roman"/>
          <w:color w:val="000000"/>
          <w:sz w:val="28"/>
          <w:szCs w:val="28"/>
        </w:rPr>
        <w:t>, згідно з яким, зокрема</w:t>
      </w:r>
      <w:r w:rsidR="004224B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F49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визнала </w:t>
      </w:r>
      <w:proofErr w:type="spellStart"/>
      <w:r w:rsidR="00BF49D3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="004224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акону України «Про внесення змін до деяких законів України щодо вдосконалення порядку призначення членів Вищої ради правосуддя та підвищення інституційної спроможності Вищої ради правосуддя» таки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що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суперечить нормам Конституції України.</w:t>
      </w:r>
    </w:p>
    <w:p w:rsidR="005418F8" w:rsidRDefault="00D33393">
      <w:pPr>
        <w:pStyle w:val="1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Комітет Верховної Ради України з питань правової політики 4 листопада                2020 року за наслідками розгляду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законопроєктів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№№ 3711, 3711-1, 3711-2 вирішив:</w:t>
      </w:r>
    </w:p>
    <w:p w:rsidR="005418F8" w:rsidRDefault="00D33393">
      <w:pPr>
        <w:pStyle w:val="10"/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рекомендувати Верховній Раді України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Закону про внесення змін до Закону України «Про судоустрій і статус суддів» та деяких законів України щодо діяльності Верховного Суду та органів суддівського врядування (реєстр. № 3711 від 22 червня 2020 року), поданий Президентом України як невідкладний, за результатами розгляду в першому читанні прийняти за основу;</w:t>
      </w:r>
    </w:p>
    <w:p w:rsidR="005418F8" w:rsidRDefault="00D33393">
      <w:pPr>
        <w:pStyle w:val="10"/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звернутись до Голови Верховної Ради України з пропозицією оголосити на пленарному зас</w:t>
      </w:r>
      <w:r w:rsidR="00BF49D3">
        <w:rPr>
          <w:rFonts w:ascii="Times New Roman" w:eastAsia="Times New Roman" w:hAnsi="Times New Roman" w:cs="Times New Roman"/>
          <w:sz w:val="28"/>
          <w:szCs w:val="28"/>
        </w:rPr>
        <w:t xml:space="preserve">іданні під час розгляду даного </w:t>
      </w:r>
      <w:proofErr w:type="spellStart"/>
      <w:r w:rsidR="00BF49D3">
        <w:rPr>
          <w:rFonts w:ascii="Times New Roman" w:eastAsia="Times New Roman" w:hAnsi="Times New Roman" w:cs="Times New Roman"/>
          <w:sz w:val="28"/>
          <w:szCs w:val="28"/>
        </w:rPr>
        <w:t>законопроє</w:t>
      </w:r>
      <w:r>
        <w:rPr>
          <w:rFonts w:ascii="Times New Roman" w:eastAsia="Times New Roman" w:hAnsi="Times New Roman" w:cs="Times New Roman"/>
          <w:sz w:val="28"/>
          <w:szCs w:val="28"/>
        </w:rPr>
        <w:t>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відповідно до частини першої статті 116 Регламенту Верховної Ради України, про необхідність внесення пропозицій і поправок щодо виправлень, уточнень, усунення помилок</w:t>
      </w:r>
      <w:r w:rsidR="00BF49D3">
        <w:rPr>
          <w:rFonts w:ascii="Times New Roman" w:eastAsia="Times New Roman" w:hAnsi="Times New Roman" w:cs="Times New Roman"/>
          <w:sz w:val="28"/>
          <w:szCs w:val="28"/>
        </w:rPr>
        <w:t xml:space="preserve"> та/або суперечностей у тексті </w:t>
      </w:r>
      <w:proofErr w:type="spellStart"/>
      <w:r w:rsidR="00BF49D3">
        <w:rPr>
          <w:rFonts w:ascii="Times New Roman" w:eastAsia="Times New Roman" w:hAnsi="Times New Roman" w:cs="Times New Roman"/>
          <w:sz w:val="28"/>
          <w:szCs w:val="28"/>
        </w:rPr>
        <w:t>законопроєкту</w:t>
      </w:r>
      <w:proofErr w:type="spellEnd"/>
      <w:r w:rsidR="00BF49D3">
        <w:rPr>
          <w:rFonts w:ascii="Times New Roman" w:eastAsia="Times New Roman" w:hAnsi="Times New Roman" w:cs="Times New Roman"/>
          <w:sz w:val="28"/>
          <w:szCs w:val="28"/>
        </w:rPr>
        <w:t xml:space="preserve">, інших структурних частин </w:t>
      </w:r>
      <w:proofErr w:type="spellStart"/>
      <w:r w:rsidR="00BF49D3">
        <w:rPr>
          <w:rFonts w:ascii="Times New Roman" w:eastAsia="Times New Roman" w:hAnsi="Times New Roman" w:cs="Times New Roman"/>
          <w:sz w:val="28"/>
          <w:szCs w:val="28"/>
        </w:rPr>
        <w:t>законопроє</w:t>
      </w:r>
      <w:r>
        <w:rPr>
          <w:rFonts w:ascii="Times New Roman" w:eastAsia="Times New Roman" w:hAnsi="Times New Roman" w:cs="Times New Roman"/>
          <w:sz w:val="28"/>
          <w:szCs w:val="28"/>
        </w:rPr>
        <w:t>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та/або інших законодавчих актів, що не були предметом розгляду в першому читанні та відповідають пр</w:t>
      </w:r>
      <w:r w:rsidR="00BF49D3">
        <w:rPr>
          <w:rFonts w:ascii="Times New Roman" w:eastAsia="Times New Roman" w:hAnsi="Times New Roman" w:cs="Times New Roman"/>
          <w:sz w:val="28"/>
          <w:szCs w:val="28"/>
        </w:rPr>
        <w:t xml:space="preserve">едмету правового регулювання </w:t>
      </w:r>
      <w:proofErr w:type="spellStart"/>
      <w:r w:rsidR="00BF49D3">
        <w:rPr>
          <w:rFonts w:ascii="Times New Roman" w:eastAsia="Times New Roman" w:hAnsi="Times New Roman" w:cs="Times New Roman"/>
          <w:sz w:val="28"/>
          <w:szCs w:val="28"/>
        </w:rPr>
        <w:t>законопроє</w:t>
      </w:r>
      <w:r>
        <w:rPr>
          <w:rFonts w:ascii="Times New Roman" w:eastAsia="Times New Roman" w:hAnsi="Times New Roman" w:cs="Times New Roman"/>
          <w:sz w:val="28"/>
          <w:szCs w:val="28"/>
        </w:rPr>
        <w:t>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418F8" w:rsidRDefault="00D33393">
      <w:pPr>
        <w:pStyle w:val="10"/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запропонувати суб’єктам права законодавчої ініціативи вн</w:t>
      </w:r>
      <w:r w:rsidR="00BF49D3">
        <w:rPr>
          <w:rFonts w:ascii="Times New Roman" w:eastAsia="Times New Roman" w:hAnsi="Times New Roman" w:cs="Times New Roman"/>
          <w:sz w:val="28"/>
          <w:szCs w:val="28"/>
        </w:rPr>
        <w:t xml:space="preserve">ести пропозиції та поправки до </w:t>
      </w:r>
      <w:proofErr w:type="spellStart"/>
      <w:r w:rsidR="00BF49D3">
        <w:rPr>
          <w:rFonts w:ascii="Times New Roman" w:eastAsia="Times New Roman" w:hAnsi="Times New Roman" w:cs="Times New Roman"/>
          <w:sz w:val="28"/>
          <w:szCs w:val="28"/>
        </w:rPr>
        <w:t>законопроє</w:t>
      </w:r>
      <w:r>
        <w:rPr>
          <w:rFonts w:ascii="Times New Roman" w:eastAsia="Times New Roman" w:hAnsi="Times New Roman" w:cs="Times New Roman"/>
          <w:sz w:val="28"/>
          <w:szCs w:val="28"/>
        </w:rPr>
        <w:t>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№ 3711 з урахуванням позиції Венеційської комісії, висловл</w:t>
      </w:r>
      <w:r w:rsidR="00BF49D3">
        <w:rPr>
          <w:rFonts w:ascii="Times New Roman" w:eastAsia="Times New Roman" w:hAnsi="Times New Roman" w:cs="Times New Roman"/>
          <w:sz w:val="28"/>
          <w:szCs w:val="28"/>
        </w:rPr>
        <w:t xml:space="preserve">еної у Висновку № 999/2020 від </w:t>
      </w:r>
      <w:r>
        <w:rPr>
          <w:rFonts w:ascii="Times New Roman" w:eastAsia="Times New Roman" w:hAnsi="Times New Roman" w:cs="Times New Roman"/>
          <w:sz w:val="28"/>
          <w:szCs w:val="28"/>
        </w:rPr>
        <w:t>9 жовтня 2020 року.</w:t>
      </w:r>
    </w:p>
    <w:p w:rsidR="005418F8" w:rsidRDefault="00D33393">
      <w:pPr>
        <w:pStyle w:val="10"/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Наразі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законопроєкт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№ 3711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направлено </w:t>
      </w:r>
      <w:r>
        <w:rPr>
          <w:rFonts w:ascii="Times New Roman" w:eastAsia="Times New Roman" w:hAnsi="Times New Roman" w:cs="Times New Roman"/>
          <w:sz w:val="28"/>
          <w:szCs w:val="28"/>
        </w:rPr>
        <w:t>Верховною Радою України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повторне перше читання.</w:t>
      </w:r>
    </w:p>
    <w:p w:rsidR="005418F8" w:rsidRPr="00493595" w:rsidRDefault="00D33393">
      <w:pPr>
        <w:pStyle w:val="1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49359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Європейська комісія «За демократію через право» (Венеційська комісія) надала в цілому схвальний висновок щодо </w:t>
      </w:r>
      <w:proofErr w:type="spellStart"/>
      <w:r w:rsidRPr="00493595">
        <w:rPr>
          <w:rFonts w:ascii="Times New Roman" w:eastAsia="Times New Roman" w:hAnsi="Times New Roman" w:cs="Times New Roman"/>
          <w:sz w:val="28"/>
          <w:szCs w:val="28"/>
          <w:highlight w:val="white"/>
        </w:rPr>
        <w:t>законопроєкту</w:t>
      </w:r>
      <w:proofErr w:type="spellEnd"/>
      <w:r w:rsidRPr="0049359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№ 3711. </w:t>
      </w:r>
      <w:r w:rsidR="00352155" w:rsidRPr="00493595">
        <w:rPr>
          <w:rFonts w:ascii="Times New Roman" w:eastAsia="Times New Roman" w:hAnsi="Times New Roman" w:cs="Times New Roman"/>
          <w:sz w:val="28"/>
          <w:szCs w:val="28"/>
          <w:highlight w:val="white"/>
        </w:rPr>
        <w:t>Венеційська</w:t>
      </w:r>
      <w:r w:rsidR="00FB24F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352155" w:rsidRPr="0049359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комісія схвалила </w:t>
      </w:r>
      <w:r w:rsidRPr="00493595">
        <w:rPr>
          <w:rFonts w:ascii="Times New Roman" w:eastAsia="Times New Roman" w:hAnsi="Times New Roman" w:cs="Times New Roman"/>
          <w:sz w:val="28"/>
          <w:szCs w:val="28"/>
          <w:highlight w:val="white"/>
        </w:rPr>
        <w:t>його спрямованість на відновлення роботи</w:t>
      </w:r>
      <w:r w:rsidR="00352155" w:rsidRPr="00493595">
        <w:rPr>
          <w:rFonts w:ascii="Times New Roman" w:eastAsia="Times New Roman" w:hAnsi="Times New Roman" w:cs="Times New Roman"/>
          <w:sz w:val="28"/>
          <w:szCs w:val="28"/>
        </w:rPr>
        <w:t xml:space="preserve"> Вищої кваліфікаційної комісії суддів України</w:t>
      </w:r>
      <w:r w:rsidR="00352155" w:rsidRPr="0049359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493595">
        <w:rPr>
          <w:rFonts w:ascii="Times New Roman" w:eastAsia="Times New Roman" w:hAnsi="Times New Roman" w:cs="Times New Roman"/>
          <w:sz w:val="28"/>
          <w:szCs w:val="28"/>
          <w:highlight w:val="white"/>
        </w:rPr>
        <w:t>та перезапуск процедури добору суддів</w:t>
      </w:r>
      <w:r w:rsidR="003F7174" w:rsidRPr="00493595">
        <w:rPr>
          <w:rStyle w:val="a7"/>
          <w:rFonts w:ascii="Times New Roman" w:eastAsia="Times New Roman" w:hAnsi="Times New Roman" w:cs="Times New Roman"/>
          <w:sz w:val="28"/>
          <w:szCs w:val="28"/>
          <w:highlight w:val="white"/>
        </w:rPr>
        <w:footnoteReference w:id="2"/>
      </w:r>
      <w:r w:rsidRPr="00493595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bookmarkEnd w:id="0"/>
    <w:p w:rsidR="005418F8" w:rsidRDefault="00D33393" w:rsidP="00FB24F9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Отже, формування Вищої кваліфікаційної комісії суддів України та початок виконання нею повноважень у пов</w:t>
      </w:r>
      <w:r w:rsidR="00BF49D3">
        <w:rPr>
          <w:rFonts w:ascii="Times New Roman" w:eastAsia="Times New Roman" w:hAnsi="Times New Roman" w:cs="Times New Roman"/>
          <w:color w:val="000000"/>
          <w:sz w:val="28"/>
          <w:szCs w:val="28"/>
        </w:rPr>
        <w:t>ному обсязі розпочнуться після ухвалення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відповідних законодавчих змін.</w:t>
      </w:r>
    </w:p>
    <w:p w:rsidR="005418F8" w:rsidRDefault="00352155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33393">
        <w:rPr>
          <w:rFonts w:ascii="Times New Roman" w:eastAsia="Times New Roman" w:hAnsi="Times New Roman" w:cs="Times New Roman"/>
          <w:color w:val="000000"/>
          <w:sz w:val="28"/>
          <w:szCs w:val="28"/>
        </w:rPr>
        <w:t>еформування у сфері правосуддя має бути послідовним та виваженим, відповідати нормам Конституції України, міжнародним стандартам та принципам Ради Європи, а всім законодавчим змінам має передувати ґрунтовна та всеохоплююча дискусія в широких професійних колах</w:t>
      </w:r>
      <w:r w:rsidR="00BF49D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418F8" w:rsidRDefault="00BF49D3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Метою такого </w:t>
      </w:r>
      <w:r w:rsidR="00D33393">
        <w:rPr>
          <w:rFonts w:ascii="Times New Roman" w:eastAsia="Times New Roman" w:hAnsi="Times New Roman" w:cs="Times New Roman"/>
          <w:color w:val="000000"/>
          <w:sz w:val="28"/>
          <w:szCs w:val="28"/>
        </w:rPr>
        <w:t>обговорення є напрацювання спільної позиції щодо визначення оптимального шляху до якнайшвидшого подолання проблеми кадрового дефіциту в українських судах та ефективного забезпечення права громадян на доступ до правосуддя. </w:t>
      </w:r>
    </w:p>
    <w:p w:rsidR="005418F8" w:rsidRPr="002F6709" w:rsidRDefault="00D33393" w:rsidP="002F6709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Євро</w:t>
      </w:r>
      <w:r w:rsidR="00F00E91">
        <w:rPr>
          <w:rFonts w:ascii="Times New Roman" w:eastAsia="Times New Roman" w:hAnsi="Times New Roman" w:cs="Times New Roman"/>
          <w:color w:val="000000"/>
          <w:sz w:val="28"/>
          <w:szCs w:val="28"/>
        </w:rPr>
        <w:t>пейський суд з прав людини наголошує, що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редставникам інших гілок влади слід утримуватися від будь-яких дій </w:t>
      </w:r>
      <w:r w:rsidR="00F00E91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заяв, які можуть бути сприйняті як інструмент тиску на діяльність судових органів чи викликати сумніви щодо їхньої здатності виконувати свої обов’</w:t>
      </w:r>
      <w:r w:rsidR="00F00E91">
        <w:rPr>
          <w:rFonts w:ascii="Times New Roman" w:eastAsia="Times New Roman" w:hAnsi="Times New Roman" w:cs="Times New Roman"/>
          <w:color w:val="000000"/>
          <w:sz w:val="28"/>
          <w:szCs w:val="28"/>
        </w:rPr>
        <w:t>язки ефективно</w:t>
      </w:r>
      <w:r w:rsidR="00FD5000">
        <w:rPr>
          <w:rStyle w:val="a7"/>
          <w:rFonts w:ascii="Times New Roman" w:eastAsia="Times New Roman" w:hAnsi="Times New Roman" w:cs="Times New Roman"/>
          <w:color w:val="000000"/>
          <w:sz w:val="28"/>
          <w:szCs w:val="28"/>
        </w:rPr>
        <w:footnoteReference w:id="3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418F8" w:rsidRPr="002F6709" w:rsidRDefault="00D33393">
      <w:pPr>
        <w:pStyle w:val="1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709">
        <w:rPr>
          <w:rFonts w:ascii="Times New Roman" w:eastAsia="Times New Roman" w:hAnsi="Times New Roman" w:cs="Times New Roman"/>
          <w:sz w:val="28"/>
          <w:szCs w:val="28"/>
        </w:rPr>
        <w:t xml:space="preserve">Враховуючи викладене, керуючись статтею 131 Конституції України, статтями 3, 34 Закону України «Про Вищу раду правосуддя», Вища рада правосуддя </w:t>
      </w:r>
    </w:p>
    <w:p w:rsidR="005418F8" w:rsidRPr="002F6709" w:rsidRDefault="005418F8">
      <w:pPr>
        <w:pStyle w:val="10"/>
        <w:tabs>
          <w:tab w:val="left" w:pos="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18F8" w:rsidRPr="002F6709" w:rsidRDefault="00D33393">
      <w:pPr>
        <w:pStyle w:val="10"/>
        <w:tabs>
          <w:tab w:val="left" w:pos="0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6709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BF03F6" w:rsidRPr="00BD0D9A" w:rsidRDefault="00BF03F6" w:rsidP="00BF03F6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3F6" w:rsidRPr="00BD0D9A" w:rsidRDefault="00BF03F6" w:rsidP="00BF03F6">
      <w:pPr>
        <w:pStyle w:val="1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D9A">
        <w:rPr>
          <w:rFonts w:ascii="Times New Roman" w:eastAsia="Times New Roman" w:hAnsi="Times New Roman" w:cs="Times New Roman"/>
          <w:sz w:val="28"/>
          <w:szCs w:val="28"/>
        </w:rPr>
        <w:t xml:space="preserve">1. Невідкладно розпочати публічне фахове обговорення </w:t>
      </w:r>
      <w:proofErr w:type="spellStart"/>
      <w:r w:rsidRPr="00BD0D9A">
        <w:rPr>
          <w:rFonts w:ascii="Times New Roman" w:eastAsia="Times New Roman" w:hAnsi="Times New Roman" w:cs="Times New Roman"/>
          <w:sz w:val="28"/>
          <w:szCs w:val="28"/>
        </w:rPr>
        <w:t>законопроєктів</w:t>
      </w:r>
      <w:proofErr w:type="spellEnd"/>
      <w:r w:rsidRPr="00BD0D9A">
        <w:rPr>
          <w:rFonts w:ascii="Times New Roman" w:eastAsia="Times New Roman" w:hAnsi="Times New Roman" w:cs="Times New Roman"/>
          <w:sz w:val="28"/>
          <w:szCs w:val="28"/>
        </w:rPr>
        <w:t xml:space="preserve"> № 3711, № 3711-1, № 3711-2 та </w:t>
      </w:r>
      <w:proofErr w:type="spellStart"/>
      <w:r w:rsidRPr="00BD0D9A">
        <w:rPr>
          <w:rFonts w:ascii="Times New Roman" w:eastAsia="Times New Roman" w:hAnsi="Times New Roman" w:cs="Times New Roman"/>
          <w:sz w:val="28"/>
          <w:szCs w:val="28"/>
        </w:rPr>
        <w:t>законопроєкту</w:t>
      </w:r>
      <w:proofErr w:type="spellEnd"/>
      <w:r w:rsidRPr="00BD0D9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33393" w:rsidRPr="00BD0D9A">
        <w:rPr>
          <w:rFonts w:ascii="Times New Roman" w:eastAsia="Times New Roman" w:hAnsi="Times New Roman" w:cs="Times New Roman"/>
          <w:sz w:val="28"/>
          <w:szCs w:val="28"/>
        </w:rPr>
        <w:t>підготовленого Міністерством юстиції України, щодо внесення змін до норм, які стосуються питан</w:t>
      </w:r>
      <w:r w:rsidR="00BF49D3" w:rsidRPr="00BD0D9A">
        <w:rPr>
          <w:rFonts w:ascii="Times New Roman" w:eastAsia="Times New Roman" w:hAnsi="Times New Roman" w:cs="Times New Roman"/>
          <w:sz w:val="28"/>
          <w:szCs w:val="28"/>
        </w:rPr>
        <w:t>ь судоустрою і статусу суддів, у</w:t>
      </w:r>
      <w:r w:rsidR="00D33393" w:rsidRPr="00BD0D9A">
        <w:rPr>
          <w:rFonts w:ascii="Times New Roman" w:eastAsia="Times New Roman" w:hAnsi="Times New Roman" w:cs="Times New Roman"/>
          <w:sz w:val="28"/>
          <w:szCs w:val="28"/>
        </w:rPr>
        <w:t xml:space="preserve"> світлі висновку Європейської комісії </w:t>
      </w:r>
      <w:r w:rsidR="001B6A0E" w:rsidRPr="00BD0D9A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D33393" w:rsidRPr="00BD0D9A">
        <w:rPr>
          <w:rFonts w:ascii="Times New Roman" w:eastAsia="Times New Roman" w:hAnsi="Times New Roman" w:cs="Times New Roman"/>
          <w:sz w:val="28"/>
          <w:szCs w:val="28"/>
        </w:rPr>
        <w:t xml:space="preserve">«За демократію через право» (Венеційська комісія) від 9 жовтня 2020 року щодо </w:t>
      </w:r>
      <w:proofErr w:type="spellStart"/>
      <w:r w:rsidR="00D33393" w:rsidRPr="00BD0D9A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="00D33393" w:rsidRPr="00BD0D9A">
        <w:rPr>
          <w:rFonts w:ascii="Times New Roman" w:eastAsia="Times New Roman" w:hAnsi="Times New Roman" w:cs="Times New Roman"/>
          <w:sz w:val="28"/>
          <w:szCs w:val="28"/>
        </w:rPr>
        <w:t xml:space="preserve"> закону «Про внесення змін до Закону України «Про судоустрій і статус суддів» та деяких законів України щодо діяльності Верховного Суду та органів суддівського врядування» (</w:t>
      </w:r>
      <w:proofErr w:type="spellStart"/>
      <w:r w:rsidR="002F6709" w:rsidRPr="00BD0D9A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="002F6709" w:rsidRPr="00BD0D9A">
        <w:rPr>
          <w:rFonts w:ascii="Times New Roman" w:eastAsia="Times New Roman" w:hAnsi="Times New Roman" w:cs="Times New Roman"/>
          <w:sz w:val="28"/>
          <w:szCs w:val="28"/>
        </w:rPr>
        <w:t xml:space="preserve"> Закону </w:t>
      </w:r>
      <w:r w:rsidR="00D33393" w:rsidRPr="00BD0D9A">
        <w:rPr>
          <w:rFonts w:ascii="Times New Roman" w:eastAsia="Times New Roman" w:hAnsi="Times New Roman" w:cs="Times New Roman"/>
          <w:sz w:val="28"/>
          <w:szCs w:val="28"/>
        </w:rPr>
        <w:t>№ 3711).</w:t>
      </w:r>
    </w:p>
    <w:p w:rsidR="005418F8" w:rsidRPr="00BD0D9A" w:rsidRDefault="00BF03F6" w:rsidP="00750CC8">
      <w:pPr>
        <w:pStyle w:val="1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D9A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BD0D9A">
        <w:t> </w:t>
      </w:r>
      <w:r w:rsidR="00D33393" w:rsidRPr="00BD0D9A">
        <w:rPr>
          <w:rFonts w:ascii="Times New Roman" w:eastAsia="Times New Roman" w:hAnsi="Times New Roman" w:cs="Times New Roman"/>
          <w:sz w:val="28"/>
          <w:szCs w:val="28"/>
        </w:rPr>
        <w:t>Залучити до обговорення міжнародних та національних експертів, представників органів суддівського врядування та самоврядування, суддівського корпусу (кандидатів на посаду судді, діючих суддів, суддів у відставці), представників законодавчої та виконавчої гілок влади, адвокатури, асоціацій суддів та адвокатів, провідних професійних гр</w:t>
      </w:r>
      <w:r w:rsidR="00BF49D3" w:rsidRPr="00BD0D9A">
        <w:rPr>
          <w:rFonts w:ascii="Times New Roman" w:eastAsia="Times New Roman" w:hAnsi="Times New Roman" w:cs="Times New Roman"/>
          <w:sz w:val="28"/>
          <w:szCs w:val="28"/>
        </w:rPr>
        <w:t>омадських організацій та наукової спільноти</w:t>
      </w:r>
      <w:r w:rsidR="00D33393" w:rsidRPr="00BD0D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18F8" w:rsidRDefault="005418F8">
      <w:pPr>
        <w:pStyle w:val="1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24F9" w:rsidRDefault="00FB24F9">
      <w:pPr>
        <w:pStyle w:val="1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18F8" w:rsidRDefault="00D33393">
      <w:pPr>
        <w:pStyle w:val="1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Вищої ради правосуддя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7798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А.А.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Овсієнко</w:t>
      </w:r>
      <w:proofErr w:type="spellEnd"/>
    </w:p>
    <w:p w:rsidR="005418F8" w:rsidRDefault="005418F8">
      <w:pPr>
        <w:pStyle w:val="1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18F8" w:rsidRDefault="005418F8">
      <w:pPr>
        <w:pStyle w:val="10"/>
        <w:spacing w:line="240" w:lineRule="auto"/>
        <w:ind w:firstLine="4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18F8" w:rsidRDefault="00D33393">
      <w:pPr>
        <w:pStyle w:val="10"/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    </w:t>
      </w:r>
    </w:p>
    <w:p w:rsidR="005418F8" w:rsidRDefault="005418F8">
      <w:pPr>
        <w:pStyle w:val="10"/>
      </w:pPr>
    </w:p>
    <w:sectPr w:rsidR="005418F8" w:rsidSect="005418F8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3F6" w:rsidRDefault="00BF03F6" w:rsidP="005418F8">
      <w:pPr>
        <w:spacing w:line="240" w:lineRule="auto"/>
      </w:pPr>
      <w:r>
        <w:separator/>
      </w:r>
    </w:p>
  </w:endnote>
  <w:endnote w:type="continuationSeparator" w:id="0">
    <w:p w:rsidR="00BF03F6" w:rsidRDefault="00BF03F6" w:rsidP="005418F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3F6" w:rsidRDefault="00BF03F6" w:rsidP="005418F8">
      <w:pPr>
        <w:spacing w:line="240" w:lineRule="auto"/>
      </w:pPr>
      <w:r>
        <w:separator/>
      </w:r>
    </w:p>
  </w:footnote>
  <w:footnote w:type="continuationSeparator" w:id="0">
    <w:p w:rsidR="00BF03F6" w:rsidRDefault="00BF03F6" w:rsidP="005418F8">
      <w:pPr>
        <w:spacing w:line="240" w:lineRule="auto"/>
      </w:pPr>
      <w:r>
        <w:continuationSeparator/>
      </w:r>
    </w:p>
  </w:footnote>
  <w:footnote w:id="1">
    <w:p w:rsidR="00BF03F6" w:rsidRDefault="00BF03F6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Висновок КРЄС № 3, § 34.</w:t>
      </w:r>
    </w:p>
  </w:footnote>
  <w:footnote w:id="2">
    <w:p w:rsidR="00BF03F6" w:rsidRPr="003F7174" w:rsidRDefault="00BF03F6" w:rsidP="003F7174">
      <w:pPr>
        <w:pStyle w:val="a5"/>
        <w:jc w:val="both"/>
        <w:rPr>
          <w:rFonts w:ascii="Times New Roman" w:hAnsi="Times New Roman" w:cs="Times New Roman"/>
        </w:rPr>
      </w:pPr>
      <w:r>
        <w:rPr>
          <w:rStyle w:val="a7"/>
        </w:rPr>
        <w:footnoteRef/>
      </w:r>
      <w:r>
        <w:t xml:space="preserve"> </w:t>
      </w:r>
      <w:r w:rsidRPr="003F7174">
        <w:rPr>
          <w:rFonts w:ascii="Times New Roman" w:hAnsi="Times New Roman" w:cs="Times New Roman"/>
        </w:rPr>
        <w:t>Спільний висновок В</w:t>
      </w:r>
      <w:r>
        <w:rPr>
          <w:rFonts w:ascii="Times New Roman" w:hAnsi="Times New Roman" w:cs="Times New Roman"/>
        </w:rPr>
        <w:t>енеційської комісії і Г</w:t>
      </w:r>
      <w:r w:rsidRPr="003F7174">
        <w:rPr>
          <w:rFonts w:ascii="Times New Roman" w:hAnsi="Times New Roman" w:cs="Times New Roman"/>
        </w:rPr>
        <w:t>енерального директорату з пр</w:t>
      </w:r>
      <w:r>
        <w:rPr>
          <w:rFonts w:ascii="Times New Roman" w:hAnsi="Times New Roman" w:cs="Times New Roman"/>
        </w:rPr>
        <w:t>ав людини і вер</w:t>
      </w:r>
      <w:r w:rsidR="001E6F4A">
        <w:rPr>
          <w:rFonts w:ascii="Times New Roman" w:hAnsi="Times New Roman" w:cs="Times New Roman"/>
        </w:rPr>
        <w:t>ховенства права Ради Європи (ГД-</w:t>
      </w:r>
      <w:r>
        <w:rPr>
          <w:rFonts w:ascii="Times New Roman" w:hAnsi="Times New Roman" w:cs="Times New Roman"/>
        </w:rPr>
        <w:t xml:space="preserve">І) щодо </w:t>
      </w:r>
      <w:proofErr w:type="spellStart"/>
      <w:r>
        <w:rPr>
          <w:rFonts w:ascii="Times New Roman" w:hAnsi="Times New Roman" w:cs="Times New Roman"/>
        </w:rPr>
        <w:t>проєкту</w:t>
      </w:r>
      <w:proofErr w:type="spellEnd"/>
      <w:r>
        <w:rPr>
          <w:rFonts w:ascii="Times New Roman" w:hAnsi="Times New Roman" w:cs="Times New Roman"/>
        </w:rPr>
        <w:t xml:space="preserve"> Закону України «П</w:t>
      </w:r>
      <w:r w:rsidRPr="003F7174">
        <w:rPr>
          <w:rFonts w:ascii="Times New Roman" w:hAnsi="Times New Roman" w:cs="Times New Roman"/>
        </w:rPr>
        <w:t>ро внесення змін</w:t>
      </w:r>
      <w:r>
        <w:rPr>
          <w:rFonts w:ascii="Times New Roman" w:hAnsi="Times New Roman" w:cs="Times New Roman"/>
        </w:rPr>
        <w:t xml:space="preserve"> до Закону України «П</w:t>
      </w:r>
      <w:r w:rsidRPr="003F7174">
        <w:rPr>
          <w:rFonts w:ascii="Times New Roman" w:hAnsi="Times New Roman" w:cs="Times New Roman"/>
        </w:rPr>
        <w:t>ро судоустрій і ст</w:t>
      </w:r>
      <w:r>
        <w:rPr>
          <w:rFonts w:ascii="Times New Roman" w:hAnsi="Times New Roman" w:cs="Times New Roman"/>
        </w:rPr>
        <w:t>атус суддів» та деяких законів України щодо діяльності Верховного С</w:t>
      </w:r>
      <w:r w:rsidRPr="003F7174">
        <w:rPr>
          <w:rFonts w:ascii="Times New Roman" w:hAnsi="Times New Roman" w:cs="Times New Roman"/>
        </w:rPr>
        <w:t>уду та органів суддівського врядування» (</w:t>
      </w:r>
      <w:proofErr w:type="spellStart"/>
      <w:r w:rsidRPr="003F7174">
        <w:rPr>
          <w:rFonts w:ascii="Times New Roman" w:hAnsi="Times New Roman" w:cs="Times New Roman"/>
        </w:rPr>
        <w:t>проєкт</w:t>
      </w:r>
      <w:proofErr w:type="spellEnd"/>
      <w:r w:rsidRPr="003F7174">
        <w:rPr>
          <w:rFonts w:ascii="Times New Roman" w:hAnsi="Times New Roman" w:cs="Times New Roman"/>
        </w:rPr>
        <w:t xml:space="preserve"> закону № 3711)</w:t>
      </w:r>
      <w:r>
        <w:rPr>
          <w:rFonts w:ascii="Times New Roman" w:hAnsi="Times New Roman" w:cs="Times New Roman"/>
        </w:rPr>
        <w:t xml:space="preserve"> № 999</w:t>
      </w:r>
      <w:r w:rsidRPr="003F7174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2020 (</w:t>
      </w:r>
      <w:r>
        <w:rPr>
          <w:rFonts w:ascii="Times New Roman" w:hAnsi="Times New Roman" w:cs="Times New Roman"/>
          <w:lang w:val="en-US"/>
        </w:rPr>
        <w:t>CDL</w:t>
      </w:r>
      <w:r w:rsidRPr="003F717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AD</w:t>
      </w:r>
      <w:r w:rsidRPr="003F7174">
        <w:rPr>
          <w:rFonts w:ascii="Times New Roman" w:hAnsi="Times New Roman" w:cs="Times New Roman"/>
        </w:rPr>
        <w:t xml:space="preserve"> (2020) 022</w:t>
      </w:r>
      <w:r>
        <w:rPr>
          <w:rFonts w:ascii="Times New Roman" w:hAnsi="Times New Roman" w:cs="Times New Roman"/>
        </w:rPr>
        <w:t>).</w:t>
      </w:r>
    </w:p>
  </w:footnote>
  <w:footnote w:id="3">
    <w:p w:rsidR="00BF03F6" w:rsidRPr="00FD5000" w:rsidRDefault="00BF03F6" w:rsidP="00FD5000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FD5000">
        <w:rPr>
          <w:rFonts w:ascii="Times New Roman" w:hAnsi="Times New Roman" w:cs="Times New Roman"/>
        </w:rPr>
        <w:t>Рішення Європ</w:t>
      </w:r>
      <w:r>
        <w:rPr>
          <w:rFonts w:ascii="Times New Roman" w:hAnsi="Times New Roman" w:cs="Times New Roman"/>
        </w:rPr>
        <w:t xml:space="preserve">ейського суду з прав людини у справі «Олександр Волков проти України» (заява № 21722/11), пункт 47.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3F6" w:rsidRDefault="00563A75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BF03F6">
      <w:rPr>
        <w:color w:val="000000"/>
      </w:rPr>
      <w:instrText>PAGE</w:instrText>
    </w:r>
    <w:r>
      <w:rPr>
        <w:color w:val="000000"/>
      </w:rPr>
      <w:fldChar w:fldCharType="separate"/>
    </w:r>
    <w:r w:rsidR="00561CCB">
      <w:rPr>
        <w:noProof/>
        <w:color w:val="000000"/>
      </w:rPr>
      <w:t>4</w:t>
    </w:r>
    <w:r>
      <w:rPr>
        <w:color w:val="000000"/>
      </w:rPr>
      <w:fldChar w:fldCharType="end"/>
    </w:r>
  </w:p>
  <w:p w:rsidR="00BF03F6" w:rsidRDefault="00BF03F6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21512"/>
    <w:multiLevelType w:val="hybridMultilevel"/>
    <w:tmpl w:val="BD02AC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8F8"/>
    <w:rsid w:val="00093031"/>
    <w:rsid w:val="000A5004"/>
    <w:rsid w:val="001231D1"/>
    <w:rsid w:val="00146C2A"/>
    <w:rsid w:val="001A153B"/>
    <w:rsid w:val="001B6A0E"/>
    <w:rsid w:val="001E6F4A"/>
    <w:rsid w:val="002F6709"/>
    <w:rsid w:val="00352155"/>
    <w:rsid w:val="003B6692"/>
    <w:rsid w:val="003F7174"/>
    <w:rsid w:val="004224B2"/>
    <w:rsid w:val="00477985"/>
    <w:rsid w:val="00493595"/>
    <w:rsid w:val="00504406"/>
    <w:rsid w:val="005418F8"/>
    <w:rsid w:val="00561CCB"/>
    <w:rsid w:val="00563A75"/>
    <w:rsid w:val="00566F99"/>
    <w:rsid w:val="006A312D"/>
    <w:rsid w:val="00750CC8"/>
    <w:rsid w:val="00783213"/>
    <w:rsid w:val="008909DE"/>
    <w:rsid w:val="008D6910"/>
    <w:rsid w:val="008F1882"/>
    <w:rsid w:val="009B443F"/>
    <w:rsid w:val="009B64E2"/>
    <w:rsid w:val="00A639F2"/>
    <w:rsid w:val="00BD0D9A"/>
    <w:rsid w:val="00BF03F6"/>
    <w:rsid w:val="00BF49D3"/>
    <w:rsid w:val="00C432E5"/>
    <w:rsid w:val="00D33393"/>
    <w:rsid w:val="00D50E9C"/>
    <w:rsid w:val="00D65BCE"/>
    <w:rsid w:val="00F00E91"/>
    <w:rsid w:val="00FB24F9"/>
    <w:rsid w:val="00FD5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uk-UA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43F"/>
  </w:style>
  <w:style w:type="paragraph" w:styleId="1">
    <w:name w:val="heading 1"/>
    <w:basedOn w:val="10"/>
    <w:next w:val="10"/>
    <w:rsid w:val="005418F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5418F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5418F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5418F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5418F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5418F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rsid w:val="005418F8"/>
  </w:style>
  <w:style w:type="table" w:customStyle="1" w:styleId="TableNormal">
    <w:name w:val="Table Normal"/>
    <w:rsid w:val="005418F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5418F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541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footnote text"/>
    <w:basedOn w:val="a"/>
    <w:link w:val="a6"/>
    <w:uiPriority w:val="99"/>
    <w:semiHidden/>
    <w:unhideWhenUsed/>
    <w:rsid w:val="003F7174"/>
    <w:pPr>
      <w:spacing w:line="240" w:lineRule="auto"/>
    </w:pPr>
    <w:rPr>
      <w:sz w:val="20"/>
      <w:szCs w:val="20"/>
    </w:rPr>
  </w:style>
  <w:style w:type="character" w:customStyle="1" w:styleId="a6">
    <w:name w:val="Текст виноски Знак"/>
    <w:basedOn w:val="a0"/>
    <w:link w:val="a5"/>
    <w:uiPriority w:val="99"/>
    <w:semiHidden/>
    <w:rsid w:val="003F717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F717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1F0B7-8716-4222-8B00-9F942BD65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6121</Words>
  <Characters>3489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2020-11-18T12:52:00Z</cp:lastPrinted>
  <dcterms:created xsi:type="dcterms:W3CDTF">2020-11-17T08:24:00Z</dcterms:created>
  <dcterms:modified xsi:type="dcterms:W3CDTF">2020-11-19T11:18:00Z</dcterms:modified>
</cp:coreProperties>
</file>