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203" w:rsidRDefault="00232203" w:rsidP="00232203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-430530</wp:posOffset>
            </wp:positionV>
            <wp:extent cx="523875" cy="685800"/>
            <wp:effectExtent l="19050" t="0" r="9525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232203" w:rsidRDefault="00232203" w:rsidP="00232203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232203" w:rsidRDefault="00232203" w:rsidP="00232203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</w:t>
      </w:r>
      <w:proofErr w:type="gramStart"/>
      <w:r>
        <w:rPr>
          <w:rFonts w:ascii="AcademyC" w:hAnsi="AcademyC"/>
          <w:b/>
          <w:color w:val="002060"/>
        </w:rPr>
        <w:t>Р</w:t>
      </w:r>
      <w:proofErr w:type="gramEnd"/>
      <w:r>
        <w:rPr>
          <w:rFonts w:ascii="AcademyC" w:hAnsi="AcademyC"/>
          <w:b/>
          <w:color w:val="002060"/>
        </w:rPr>
        <w:t>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232203" w:rsidTr="009853F4">
        <w:trPr>
          <w:trHeight w:val="188"/>
        </w:trPr>
        <w:tc>
          <w:tcPr>
            <w:tcW w:w="3098" w:type="dxa"/>
            <w:hideMark/>
          </w:tcPr>
          <w:p w:rsidR="00232203" w:rsidRDefault="00232203" w:rsidP="00232203">
            <w:pPr>
              <w:spacing w:line="360" w:lineRule="auto"/>
              <w:ind w:right="-2"/>
              <w:rPr>
                <w:noProof/>
                <w:color w:val="002060"/>
                <w:u w:val="single"/>
                <w:lang w:val="en-US"/>
              </w:rPr>
            </w:pPr>
            <w:r>
              <w:rPr>
                <w:noProof/>
                <w:color w:val="002060"/>
                <w:u w:val="single"/>
              </w:rPr>
              <w:t>1</w:t>
            </w:r>
            <w:r>
              <w:rPr>
                <w:noProof/>
                <w:color w:val="002060"/>
                <w:u w:val="single"/>
                <w:lang w:val="uk-UA"/>
              </w:rPr>
              <w:t>9</w:t>
            </w:r>
            <w:r>
              <w:rPr>
                <w:noProof/>
                <w:color w:val="002060"/>
                <w:u w:val="single"/>
              </w:rPr>
              <w:t xml:space="preserve"> листопада 2020 року</w:t>
            </w:r>
          </w:p>
        </w:tc>
        <w:tc>
          <w:tcPr>
            <w:tcW w:w="3309" w:type="dxa"/>
            <w:hideMark/>
          </w:tcPr>
          <w:p w:rsidR="00232203" w:rsidRDefault="00232203" w:rsidP="009853F4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</w:t>
            </w:r>
            <w:proofErr w:type="gram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  <w:hideMark/>
          </w:tcPr>
          <w:p w:rsidR="00232203" w:rsidRDefault="00232203" w:rsidP="00232203">
            <w:pPr>
              <w:spacing w:line="360" w:lineRule="auto"/>
              <w:ind w:right="-2"/>
              <w:jc w:val="center"/>
              <w:rPr>
                <w:noProof/>
                <w:color w:val="002060"/>
              </w:rPr>
            </w:pP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</w:rPr>
              <w:t>3</w:t>
            </w:r>
            <w:r>
              <w:rPr>
                <w:noProof/>
                <w:color w:val="002060"/>
                <w:u w:val="single"/>
                <w:lang w:val="uk-UA"/>
              </w:rPr>
              <w:t>207</w:t>
            </w:r>
            <w:r>
              <w:rPr>
                <w:noProof/>
                <w:color w:val="002060"/>
                <w:u w:val="single"/>
              </w:rPr>
              <w:t>/0/15-20</w:t>
            </w:r>
          </w:p>
        </w:tc>
      </w:tr>
    </w:tbl>
    <w:p w:rsidR="004D7BC8" w:rsidRDefault="004D7BC8" w:rsidP="008E0868">
      <w:pPr>
        <w:rPr>
          <w:rFonts w:eastAsia="Calibri"/>
          <w:lang w:val="uk-UA" w:eastAsia="en-US"/>
        </w:rPr>
      </w:pPr>
    </w:p>
    <w:tbl>
      <w:tblPr>
        <w:tblW w:w="4503" w:type="dxa"/>
        <w:tblLook w:val="04A0"/>
      </w:tblPr>
      <w:tblGrid>
        <w:gridCol w:w="4503"/>
      </w:tblGrid>
      <w:tr w:rsidR="008E0868" w:rsidTr="008E0868">
        <w:tc>
          <w:tcPr>
            <w:tcW w:w="4503" w:type="dxa"/>
            <w:hideMark/>
          </w:tcPr>
          <w:p w:rsidR="008E0868" w:rsidRDefault="008E0868">
            <w:pPr>
              <w:jc w:val="both"/>
              <w:rPr>
                <w:rFonts w:eastAsia="Calibri"/>
                <w:b/>
                <w:color w:val="FF0000"/>
                <w:sz w:val="23"/>
                <w:szCs w:val="23"/>
              </w:rPr>
            </w:pPr>
            <w:r>
              <w:rPr>
                <w:rFonts w:eastAsia="Calibri"/>
                <w:b/>
                <w:sz w:val="23"/>
                <w:szCs w:val="23"/>
                <w:lang w:val="uk-UA"/>
              </w:rPr>
              <w:t xml:space="preserve">Про початок процедури відрядження суддів до </w:t>
            </w:r>
            <w:proofErr w:type="spellStart"/>
            <w:r>
              <w:rPr>
                <w:rFonts w:eastAsia="Calibri"/>
                <w:b/>
                <w:sz w:val="23"/>
                <w:szCs w:val="23"/>
                <w:lang w:val="uk-UA"/>
              </w:rPr>
              <w:t>Синельниківського</w:t>
            </w:r>
            <w:proofErr w:type="spellEnd"/>
            <w:r>
              <w:rPr>
                <w:rFonts w:eastAsia="Calibri"/>
                <w:b/>
                <w:sz w:val="23"/>
                <w:szCs w:val="23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3"/>
                <w:szCs w:val="23"/>
                <w:lang w:val="uk-UA"/>
              </w:rPr>
              <w:t>міськрайонного</w:t>
            </w:r>
            <w:proofErr w:type="spellEnd"/>
            <w:r>
              <w:rPr>
                <w:rFonts w:eastAsia="Calibri"/>
                <w:b/>
                <w:sz w:val="23"/>
                <w:szCs w:val="23"/>
                <w:lang w:val="uk-UA"/>
              </w:rPr>
              <w:t xml:space="preserve"> суду Дніпропетровської області (як тимчасового переведення)</w:t>
            </w:r>
          </w:p>
        </w:tc>
      </w:tr>
    </w:tbl>
    <w:p w:rsidR="008E0868" w:rsidRDefault="008E0868" w:rsidP="008E0868">
      <w:pPr>
        <w:jc w:val="both"/>
        <w:rPr>
          <w:rFonts w:eastAsia="Calibri"/>
          <w:lang w:val="uk-UA"/>
        </w:rPr>
      </w:pPr>
    </w:p>
    <w:p w:rsidR="008E0868" w:rsidRDefault="008E0868" w:rsidP="008E0868">
      <w:pPr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Вища рада правосуддя, розглянувши повідомлення Державної судової адміністрації України про необхідність розгляду питання щодо відрядження суддів,</w:t>
      </w:r>
    </w:p>
    <w:p w:rsidR="008E0868" w:rsidRDefault="008E0868" w:rsidP="008E0868">
      <w:pPr>
        <w:ind w:firstLine="851"/>
        <w:jc w:val="both"/>
        <w:rPr>
          <w:rFonts w:eastAsia="Calibri"/>
          <w:lang w:val="uk-UA" w:eastAsia="en-US"/>
        </w:rPr>
      </w:pPr>
    </w:p>
    <w:p w:rsidR="008E0868" w:rsidRDefault="008E0868" w:rsidP="008E0868">
      <w:pPr>
        <w:jc w:val="center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встановила:</w:t>
      </w:r>
    </w:p>
    <w:p w:rsidR="008E0868" w:rsidRDefault="008E0868" w:rsidP="008E0868">
      <w:pPr>
        <w:ind w:firstLine="851"/>
        <w:jc w:val="both"/>
        <w:rPr>
          <w:rFonts w:eastAsia="Calibri"/>
          <w:lang w:val="uk-UA" w:eastAsia="en-US"/>
        </w:rPr>
      </w:pPr>
    </w:p>
    <w:p w:rsidR="008E0868" w:rsidRDefault="008E0868" w:rsidP="008E0868">
      <w:pPr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до Вищої ради правосуддя надійшло повідомлення Державної судової адміністрації України про наявність підстав для відрядження суддів до </w:t>
      </w:r>
      <w:proofErr w:type="spellStart"/>
      <w:r>
        <w:rPr>
          <w:rFonts w:eastAsia="Calibri"/>
          <w:lang w:val="uk-UA"/>
        </w:rPr>
        <w:t>Синельниківського</w:t>
      </w:r>
      <w:proofErr w:type="spellEnd"/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міськрайонного</w:t>
      </w:r>
      <w:proofErr w:type="spellEnd"/>
      <w:r>
        <w:rPr>
          <w:rFonts w:eastAsia="Calibri"/>
          <w:lang w:val="uk-UA"/>
        </w:rPr>
        <w:t xml:space="preserve"> суду Дніпропетровської області</w:t>
      </w:r>
      <w:r>
        <w:rPr>
          <w:rFonts w:eastAsia="Calibri"/>
          <w:lang w:val="uk-UA" w:eastAsia="en-US"/>
        </w:rPr>
        <w:t xml:space="preserve"> у зв’язку з виявленням у ньому надмірного рівня судового навантаження.</w:t>
      </w:r>
    </w:p>
    <w:p w:rsidR="008E0868" w:rsidRDefault="008E0868" w:rsidP="008E0868">
      <w:pPr>
        <w:ind w:firstLine="851"/>
        <w:jc w:val="both"/>
        <w:rPr>
          <w:color w:val="000000"/>
          <w:lang w:val="uk-UA" w:eastAsia="uk-UA"/>
        </w:rPr>
      </w:pPr>
      <w:r>
        <w:rPr>
          <w:rFonts w:eastAsia="Calibri"/>
          <w:lang w:val="uk-UA" w:eastAsia="en-US"/>
        </w:rPr>
        <w:t xml:space="preserve">Ураховуючи стан здійснення правосуддя, рівень судового навантаження у </w:t>
      </w:r>
      <w:proofErr w:type="spellStart"/>
      <w:r>
        <w:rPr>
          <w:rFonts w:eastAsia="Calibri"/>
          <w:lang w:val="uk-UA"/>
        </w:rPr>
        <w:t>Синельниківському</w:t>
      </w:r>
      <w:proofErr w:type="spellEnd"/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міськрайонному</w:t>
      </w:r>
      <w:proofErr w:type="spellEnd"/>
      <w:r>
        <w:rPr>
          <w:rFonts w:eastAsia="Calibri"/>
          <w:lang w:val="uk-UA"/>
        </w:rPr>
        <w:t xml:space="preserve"> суді Дніпропетровської області,</w:t>
      </w:r>
      <w:r>
        <w:rPr>
          <w:rFonts w:eastAsia="Calibri"/>
          <w:lang w:val="uk-UA" w:eastAsia="en-US"/>
        </w:rPr>
        <w:t xml:space="preserve"> Державна судова адміністрація України пропонує відрядити 2 (двох) суддів.</w:t>
      </w:r>
    </w:p>
    <w:p w:rsidR="008E0868" w:rsidRDefault="008E0868" w:rsidP="008E0868">
      <w:pPr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Державна судова адміністрація України зазначає, що відрядження двох суддів строком на один рік дасть змогу врегулювати навантаження і забезпечить належні умови для доступу до правосуддя у </w:t>
      </w:r>
      <w:proofErr w:type="spellStart"/>
      <w:r>
        <w:rPr>
          <w:rFonts w:eastAsia="Calibri"/>
          <w:lang w:val="uk-UA"/>
        </w:rPr>
        <w:t>Синельниківському</w:t>
      </w:r>
      <w:proofErr w:type="spellEnd"/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міськрайонному</w:t>
      </w:r>
      <w:proofErr w:type="spellEnd"/>
      <w:r>
        <w:rPr>
          <w:rFonts w:eastAsia="Calibri"/>
          <w:lang w:val="uk-UA"/>
        </w:rPr>
        <w:t xml:space="preserve"> суді Дніпропетровської області.</w:t>
      </w:r>
    </w:p>
    <w:p w:rsidR="008E0868" w:rsidRDefault="008E0868" w:rsidP="008E0868">
      <w:pPr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Відповідно до підпунктів 1, 5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</w:t>
      </w:r>
      <w:r w:rsidR="008E7C77">
        <w:rPr>
          <w:rFonts w:eastAsia="Calibri"/>
          <w:lang w:val="uk-UA" w:eastAsia="en-US"/>
        </w:rPr>
        <w:t>,</w:t>
      </w:r>
      <w:r>
        <w:rPr>
          <w:rFonts w:eastAsia="Calibri"/>
          <w:lang w:val="uk-UA" w:eastAsia="en-US"/>
        </w:rPr>
        <w:t xml:space="preserve"> про відрядження судді до іншого суду того самого рівня і спеціалізації, про внесення змін до порядку відрядження судді до іншого суду тієї самої спеціалізації. </w:t>
      </w:r>
    </w:p>
    <w:p w:rsidR="008E0868" w:rsidRDefault="008E0868" w:rsidP="008E0868">
      <w:pPr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                 (далі – Порядок), та пунктом 21.10 Регламенту Вищої ради правосуддя                 (далі – Регламент) передбачено, що у період відсутності повноважного складу Вищої кваліфікаційної комісії суддів України рішення про відрядження судді </w:t>
      </w:r>
      <w:r>
        <w:rPr>
          <w:rFonts w:eastAsia="Calibri"/>
          <w:lang w:val="uk-UA" w:eastAsia="en-US"/>
        </w:rPr>
        <w:lastRenderedPageBreak/>
        <w:t>ухвалюється Вищою радою правосуддя на підставі повідомлення Державної судової адміністрації України.</w:t>
      </w:r>
    </w:p>
    <w:p w:rsidR="008E0868" w:rsidRDefault="008E0868" w:rsidP="008E0868">
      <w:pPr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Згідно з пунктом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 (суддів), у зв’язку із чим відповідно до пункту 2 розділу І</w:t>
      </w:r>
      <w:r>
        <w:rPr>
          <w:rFonts w:eastAsia="Calibri"/>
          <w:lang w:val="en-US" w:eastAsia="en-US"/>
        </w:rPr>
        <w:t>V</w:t>
      </w:r>
      <w:r>
        <w:rPr>
          <w:rFonts w:eastAsia="Calibri"/>
          <w:lang w:val="uk-UA" w:eastAsia="en-US"/>
        </w:rPr>
        <w:t xml:space="preserve">-1 Порядку розміщується оголошення на офіційному </w:t>
      </w:r>
      <w:proofErr w:type="spellStart"/>
      <w:r>
        <w:rPr>
          <w:rFonts w:eastAsia="Calibri"/>
          <w:lang w:val="uk-UA" w:eastAsia="en-US"/>
        </w:rPr>
        <w:t>вебсайті</w:t>
      </w:r>
      <w:proofErr w:type="spellEnd"/>
      <w:r>
        <w:rPr>
          <w:rFonts w:eastAsia="Calibri"/>
          <w:lang w:val="uk-UA" w:eastAsia="en-US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E0868" w:rsidRDefault="008E0868" w:rsidP="008E0868">
      <w:pPr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На підставі наведеного,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статтею 70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8E0868" w:rsidRDefault="008E0868" w:rsidP="008E0868">
      <w:pPr>
        <w:ind w:firstLine="851"/>
        <w:jc w:val="both"/>
        <w:rPr>
          <w:rFonts w:eastAsia="Calibri"/>
          <w:lang w:val="uk-UA" w:eastAsia="en-US"/>
        </w:rPr>
      </w:pPr>
    </w:p>
    <w:p w:rsidR="008E0868" w:rsidRDefault="008E0868" w:rsidP="008E0868">
      <w:pPr>
        <w:jc w:val="center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вирішила:</w:t>
      </w:r>
    </w:p>
    <w:p w:rsidR="008E0868" w:rsidRDefault="008E0868" w:rsidP="008E0868">
      <w:pPr>
        <w:jc w:val="center"/>
        <w:rPr>
          <w:rFonts w:eastAsia="Calibri"/>
          <w:b/>
          <w:lang w:val="uk-UA" w:eastAsia="en-US"/>
        </w:rPr>
      </w:pPr>
    </w:p>
    <w:p w:rsidR="008E0868" w:rsidRDefault="008E0868" w:rsidP="008E7C77">
      <w:pPr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1. Розпочати процедуру відрядження суддів до </w:t>
      </w:r>
      <w:proofErr w:type="spellStart"/>
      <w:r>
        <w:rPr>
          <w:rFonts w:eastAsia="Calibri"/>
          <w:lang w:val="uk-UA"/>
        </w:rPr>
        <w:t>Синельниківського</w:t>
      </w:r>
      <w:proofErr w:type="spellEnd"/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міськрайонного</w:t>
      </w:r>
      <w:proofErr w:type="spellEnd"/>
      <w:r>
        <w:rPr>
          <w:rFonts w:eastAsia="Calibri"/>
          <w:lang w:val="uk-UA"/>
        </w:rPr>
        <w:t xml:space="preserve"> суду Дніпропетровської області.</w:t>
      </w:r>
    </w:p>
    <w:p w:rsidR="008E0868" w:rsidRDefault="008E0868" w:rsidP="008E0868">
      <w:pPr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2. Затвердити текст оголошення про початок процедури відрядження суддів (додається) та оприлюднити його на </w:t>
      </w:r>
      <w:proofErr w:type="spellStart"/>
      <w:r>
        <w:rPr>
          <w:rFonts w:eastAsia="Calibri"/>
          <w:lang w:val="uk-UA" w:eastAsia="en-US"/>
        </w:rPr>
        <w:t>вебсайті</w:t>
      </w:r>
      <w:proofErr w:type="spellEnd"/>
      <w:r>
        <w:rPr>
          <w:rFonts w:eastAsia="Calibri"/>
          <w:lang w:val="uk-UA" w:eastAsia="en-US"/>
        </w:rPr>
        <w:t xml:space="preserve"> Вищої ради правосуддя.</w:t>
      </w:r>
    </w:p>
    <w:p w:rsidR="008E0868" w:rsidRDefault="008E0868" w:rsidP="008E0868">
      <w:pPr>
        <w:jc w:val="both"/>
        <w:rPr>
          <w:rFonts w:eastAsia="Calibri"/>
          <w:lang w:val="uk-UA" w:eastAsia="en-US"/>
        </w:rPr>
      </w:pPr>
    </w:p>
    <w:p w:rsidR="008E0868" w:rsidRDefault="008E0868" w:rsidP="008E0868">
      <w:pPr>
        <w:jc w:val="both"/>
        <w:rPr>
          <w:rFonts w:eastAsia="Calibri"/>
          <w:lang w:val="uk-UA" w:eastAsia="en-US"/>
        </w:rPr>
      </w:pPr>
    </w:p>
    <w:p w:rsidR="008E0868" w:rsidRDefault="008E0868" w:rsidP="008E0868">
      <w:pPr>
        <w:jc w:val="both"/>
        <w:rPr>
          <w:rFonts w:eastAsia="Calibri"/>
          <w:b/>
          <w:lang w:val="uk-UA"/>
        </w:rPr>
      </w:pPr>
      <w:r>
        <w:rPr>
          <w:rFonts w:eastAsia="Calibri"/>
          <w:b/>
        </w:rPr>
        <w:t>Голов</w:t>
      </w:r>
      <w:r>
        <w:rPr>
          <w:rFonts w:eastAsia="Calibri"/>
          <w:b/>
          <w:lang w:val="uk-UA"/>
        </w:rPr>
        <w:t xml:space="preserve">а </w:t>
      </w:r>
      <w:proofErr w:type="spellStart"/>
      <w:r>
        <w:rPr>
          <w:rFonts w:eastAsia="Calibri"/>
          <w:b/>
        </w:rPr>
        <w:t>Вищої</w:t>
      </w:r>
      <w:proofErr w:type="spellEnd"/>
      <w:r>
        <w:rPr>
          <w:rFonts w:eastAsia="Calibri"/>
          <w:b/>
        </w:rPr>
        <w:t xml:space="preserve"> ради </w:t>
      </w:r>
      <w:proofErr w:type="spellStart"/>
      <w:r>
        <w:rPr>
          <w:rFonts w:eastAsia="Calibri"/>
          <w:b/>
        </w:rPr>
        <w:t>правосуддя</w:t>
      </w:r>
      <w:proofErr w:type="spellEnd"/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  <w:lang w:val="uk-UA"/>
        </w:rPr>
        <w:t xml:space="preserve"> А.А. </w:t>
      </w:r>
      <w:proofErr w:type="spellStart"/>
      <w:r>
        <w:rPr>
          <w:rFonts w:eastAsia="Calibri"/>
          <w:b/>
          <w:lang w:val="uk-UA"/>
        </w:rPr>
        <w:t>Овсієнко</w:t>
      </w:r>
      <w:proofErr w:type="spellEnd"/>
    </w:p>
    <w:p w:rsidR="008E0868" w:rsidRDefault="008E0868" w:rsidP="008E0868">
      <w:pPr>
        <w:jc w:val="both"/>
        <w:rPr>
          <w:rFonts w:eastAsia="Calibri"/>
          <w:b/>
          <w:lang w:val="uk-UA"/>
        </w:rPr>
      </w:pPr>
    </w:p>
    <w:p w:rsidR="008E0868" w:rsidRDefault="008E0868" w:rsidP="008E0868">
      <w:pPr>
        <w:jc w:val="both"/>
        <w:rPr>
          <w:rFonts w:eastAsia="Calibri"/>
          <w:b/>
          <w:lang w:val="uk-UA"/>
        </w:rPr>
      </w:pPr>
    </w:p>
    <w:p w:rsidR="008E0868" w:rsidRDefault="008E0868" w:rsidP="008E0868">
      <w:pPr>
        <w:jc w:val="both"/>
        <w:rPr>
          <w:rFonts w:eastAsia="Calibri"/>
          <w:b/>
          <w:lang w:val="uk-UA"/>
        </w:rPr>
      </w:pPr>
    </w:p>
    <w:p w:rsidR="008E0868" w:rsidRDefault="008E0868" w:rsidP="008E0868">
      <w:pPr>
        <w:jc w:val="both"/>
        <w:rPr>
          <w:rFonts w:eastAsia="Calibri"/>
          <w:b/>
          <w:lang w:val="uk-UA"/>
        </w:rPr>
      </w:pPr>
    </w:p>
    <w:p w:rsidR="008E0868" w:rsidRDefault="008E0868" w:rsidP="008E0868">
      <w:pPr>
        <w:jc w:val="both"/>
        <w:rPr>
          <w:rFonts w:eastAsia="Calibri"/>
          <w:b/>
          <w:lang w:val="uk-UA"/>
        </w:rPr>
      </w:pPr>
    </w:p>
    <w:p w:rsidR="008E0868" w:rsidRDefault="008E0868" w:rsidP="008E0868">
      <w:pPr>
        <w:jc w:val="both"/>
        <w:rPr>
          <w:rFonts w:eastAsia="Calibri"/>
          <w:b/>
          <w:lang w:val="uk-UA"/>
        </w:rPr>
      </w:pPr>
    </w:p>
    <w:p w:rsidR="008E0868" w:rsidRDefault="008E0868" w:rsidP="008E0868">
      <w:pPr>
        <w:jc w:val="both"/>
        <w:rPr>
          <w:rFonts w:eastAsia="Calibri"/>
          <w:b/>
          <w:lang w:val="uk-UA"/>
        </w:rPr>
      </w:pPr>
    </w:p>
    <w:p w:rsidR="008E0868" w:rsidRDefault="008E0868" w:rsidP="008E0868">
      <w:pPr>
        <w:jc w:val="both"/>
        <w:rPr>
          <w:rFonts w:eastAsia="Calibri"/>
          <w:b/>
          <w:lang w:val="uk-UA"/>
        </w:rPr>
      </w:pPr>
    </w:p>
    <w:p w:rsidR="008E0868" w:rsidRDefault="008E0868" w:rsidP="008E0868">
      <w:pPr>
        <w:jc w:val="both"/>
        <w:rPr>
          <w:rFonts w:eastAsia="Calibri"/>
          <w:b/>
          <w:lang w:val="uk-UA"/>
        </w:rPr>
      </w:pPr>
    </w:p>
    <w:p w:rsidR="008E0868" w:rsidRDefault="008E0868" w:rsidP="008E0868">
      <w:pPr>
        <w:jc w:val="both"/>
        <w:rPr>
          <w:rFonts w:eastAsia="Calibri"/>
          <w:b/>
          <w:lang w:val="uk-UA"/>
        </w:rPr>
      </w:pPr>
    </w:p>
    <w:p w:rsidR="008E0868" w:rsidRDefault="008E0868" w:rsidP="008E0868">
      <w:pPr>
        <w:jc w:val="both"/>
        <w:rPr>
          <w:rFonts w:eastAsia="Calibri"/>
          <w:b/>
          <w:lang w:val="uk-UA"/>
        </w:rPr>
      </w:pPr>
    </w:p>
    <w:p w:rsidR="008E0868" w:rsidRDefault="008E0868" w:rsidP="008E0868">
      <w:pPr>
        <w:jc w:val="both"/>
        <w:rPr>
          <w:rFonts w:eastAsia="Calibri"/>
          <w:b/>
          <w:lang w:val="uk-UA"/>
        </w:rPr>
      </w:pPr>
    </w:p>
    <w:p w:rsidR="008E0868" w:rsidRDefault="008E0868" w:rsidP="008E0868">
      <w:pPr>
        <w:jc w:val="both"/>
        <w:rPr>
          <w:rFonts w:eastAsia="Calibri"/>
          <w:b/>
          <w:lang w:val="uk-UA"/>
        </w:rPr>
      </w:pPr>
    </w:p>
    <w:p w:rsidR="008E0868" w:rsidRDefault="008E0868" w:rsidP="008E0868">
      <w:pPr>
        <w:jc w:val="both"/>
        <w:rPr>
          <w:rFonts w:eastAsia="Calibri"/>
          <w:b/>
          <w:lang w:val="uk-UA"/>
        </w:rPr>
      </w:pPr>
    </w:p>
    <w:p w:rsidR="00187E40" w:rsidRDefault="00187E40">
      <w:pPr>
        <w:rPr>
          <w:lang w:val="uk-UA"/>
        </w:rPr>
      </w:pPr>
    </w:p>
    <w:p w:rsidR="004D7BC8" w:rsidRDefault="004D7BC8">
      <w:pPr>
        <w:rPr>
          <w:lang w:val="uk-UA"/>
        </w:rPr>
      </w:pPr>
    </w:p>
    <w:p w:rsidR="00232203" w:rsidRDefault="00232203">
      <w:pPr>
        <w:rPr>
          <w:lang w:val="uk-UA"/>
        </w:rPr>
      </w:pPr>
    </w:p>
    <w:p w:rsidR="00187E40" w:rsidRDefault="00187E40" w:rsidP="00187E40">
      <w:pPr>
        <w:ind w:left="4956" w:firstLine="289"/>
        <w:jc w:val="both"/>
        <w:rPr>
          <w:b/>
          <w:lang w:val="uk-UA" w:eastAsia="en-US"/>
        </w:rPr>
      </w:pPr>
      <w:r>
        <w:rPr>
          <w:b/>
          <w:lang w:val="uk-UA" w:eastAsia="en-US"/>
        </w:rPr>
        <w:lastRenderedPageBreak/>
        <w:t xml:space="preserve">ЗАТВЕРДЖЕНО </w:t>
      </w:r>
    </w:p>
    <w:p w:rsidR="00187E40" w:rsidRDefault="00187E40" w:rsidP="00187E40">
      <w:pPr>
        <w:ind w:left="4537" w:firstLine="708"/>
        <w:jc w:val="both"/>
        <w:rPr>
          <w:b/>
          <w:sz w:val="24"/>
          <w:szCs w:val="24"/>
          <w:lang w:val="uk-UA" w:eastAsia="en-US"/>
        </w:rPr>
      </w:pPr>
      <w:r>
        <w:rPr>
          <w:b/>
          <w:sz w:val="24"/>
          <w:szCs w:val="24"/>
          <w:lang w:val="uk-UA" w:eastAsia="en-US"/>
        </w:rPr>
        <w:t xml:space="preserve">Рішення Вищої ради правосуддя </w:t>
      </w:r>
    </w:p>
    <w:p w:rsidR="00187E40" w:rsidRDefault="00187E40" w:rsidP="00187E40">
      <w:pPr>
        <w:ind w:left="4248" w:firstLine="289"/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 xml:space="preserve">            19 листопада 2020 року № </w:t>
      </w:r>
      <w:r w:rsidR="00232203">
        <w:rPr>
          <w:rFonts w:eastAsia="Calibri"/>
          <w:sz w:val="24"/>
          <w:szCs w:val="24"/>
          <w:lang w:val="uk-UA" w:eastAsia="en-US"/>
        </w:rPr>
        <w:t>3207/0/15-20</w:t>
      </w:r>
    </w:p>
    <w:p w:rsidR="00187E40" w:rsidRDefault="00187E40" w:rsidP="00187E40">
      <w:pPr>
        <w:rPr>
          <w:rFonts w:eastAsia="Calibri"/>
          <w:b/>
          <w:lang w:val="uk-UA" w:eastAsia="en-US"/>
        </w:rPr>
      </w:pPr>
    </w:p>
    <w:p w:rsidR="00187E40" w:rsidRDefault="00187E40" w:rsidP="00187E40">
      <w:pPr>
        <w:jc w:val="center"/>
        <w:rPr>
          <w:rFonts w:eastAsia="Calibri"/>
          <w:b/>
          <w:lang w:val="uk-UA" w:eastAsia="en-US"/>
        </w:rPr>
      </w:pPr>
    </w:p>
    <w:p w:rsidR="00187E40" w:rsidRDefault="00187E40" w:rsidP="00187E40">
      <w:pPr>
        <w:jc w:val="center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ОГОЛОШЕННЯ</w:t>
      </w:r>
    </w:p>
    <w:p w:rsidR="00187E40" w:rsidRDefault="00187E40" w:rsidP="00187E40">
      <w:pPr>
        <w:jc w:val="center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про початок процедури відрядження суддів</w:t>
      </w:r>
    </w:p>
    <w:p w:rsidR="00187E40" w:rsidRDefault="00187E40" w:rsidP="00187E40">
      <w:pPr>
        <w:jc w:val="both"/>
        <w:rPr>
          <w:rFonts w:eastAsia="Calibri"/>
          <w:lang w:val="uk-UA" w:eastAsia="en-US"/>
        </w:rPr>
      </w:pPr>
    </w:p>
    <w:p w:rsidR="00187E40" w:rsidRDefault="00187E40" w:rsidP="00187E40">
      <w:pPr>
        <w:spacing w:after="120"/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Вища рада правосуддя відповідно до ріше</w:t>
      </w:r>
      <w:r w:rsidR="002A1446">
        <w:rPr>
          <w:rFonts w:eastAsia="Calibri"/>
          <w:lang w:val="uk-UA" w:eastAsia="en-US"/>
        </w:rPr>
        <w:t xml:space="preserve">ння від 19 листопада                2020 року </w:t>
      </w:r>
      <w:r>
        <w:rPr>
          <w:rFonts w:eastAsia="Calibri"/>
          <w:lang w:val="uk-UA" w:eastAsia="en-US"/>
        </w:rPr>
        <w:t xml:space="preserve">№ </w:t>
      </w:r>
      <w:r w:rsidR="00232203">
        <w:rPr>
          <w:rFonts w:eastAsia="Calibri"/>
          <w:u w:val="single"/>
          <w:lang w:val="uk-UA" w:eastAsia="en-US"/>
        </w:rPr>
        <w:t xml:space="preserve">3207/0/15-20 </w:t>
      </w:r>
      <w:r>
        <w:rPr>
          <w:rFonts w:eastAsia="Calibri"/>
          <w:lang w:val="uk-UA" w:eastAsia="en-US"/>
        </w:rPr>
        <w:t>оголошує про початок процедури відрядження суддів до</w:t>
      </w:r>
      <w:r w:rsidR="00232203"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>іншого суду того самого рівня і спеціалізації для здійснення правосуддя, а саме до</w:t>
      </w:r>
    </w:p>
    <w:p w:rsidR="00187E40" w:rsidRDefault="00187E40" w:rsidP="00187E40">
      <w:pPr>
        <w:spacing w:line="276" w:lineRule="auto"/>
        <w:ind w:firstLine="851"/>
        <w:jc w:val="both"/>
        <w:rPr>
          <w:b/>
          <w:color w:val="000000"/>
          <w:lang w:val="uk-UA" w:eastAsia="uk-UA"/>
        </w:rPr>
      </w:pPr>
      <w:proofErr w:type="spellStart"/>
      <w:r>
        <w:rPr>
          <w:rFonts w:eastAsia="Calibri"/>
          <w:b/>
          <w:lang w:val="uk-UA"/>
        </w:rPr>
        <w:t>Синельниківського</w:t>
      </w:r>
      <w:proofErr w:type="spellEnd"/>
      <w:r>
        <w:rPr>
          <w:rFonts w:eastAsia="Calibri"/>
          <w:b/>
          <w:lang w:val="uk-UA"/>
        </w:rPr>
        <w:t xml:space="preserve"> </w:t>
      </w:r>
      <w:proofErr w:type="spellStart"/>
      <w:r>
        <w:rPr>
          <w:rFonts w:eastAsia="Calibri"/>
          <w:b/>
          <w:lang w:val="uk-UA"/>
        </w:rPr>
        <w:t>міськрайонного</w:t>
      </w:r>
      <w:proofErr w:type="spellEnd"/>
      <w:r>
        <w:rPr>
          <w:rFonts w:eastAsia="Calibri"/>
          <w:b/>
          <w:lang w:val="uk-UA"/>
        </w:rPr>
        <w:t xml:space="preserve"> суду Дніпропетровської </w:t>
      </w:r>
      <w:r w:rsidR="004D7BC8">
        <w:rPr>
          <w:rFonts w:eastAsia="Calibri"/>
          <w:b/>
          <w:lang w:val="uk-UA"/>
        </w:rPr>
        <w:t xml:space="preserve">           </w:t>
      </w:r>
      <w:r>
        <w:rPr>
          <w:rFonts w:eastAsia="Calibri"/>
          <w:b/>
          <w:lang w:val="uk-UA"/>
        </w:rPr>
        <w:t>області</w:t>
      </w:r>
      <w:r w:rsidR="004D7BC8">
        <w:rPr>
          <w:b/>
          <w:color w:val="000000"/>
          <w:lang w:val="uk-UA" w:eastAsia="uk-UA"/>
        </w:rPr>
        <w:t xml:space="preserve"> </w:t>
      </w:r>
      <w:r>
        <w:rPr>
          <w:b/>
          <w:color w:val="000000"/>
          <w:lang w:val="uk-UA" w:eastAsia="uk-UA"/>
        </w:rPr>
        <w:t xml:space="preserve">– 2 суддів.                                                                                                                                                            </w:t>
      </w:r>
    </w:p>
    <w:p w:rsidR="00187E40" w:rsidRDefault="00187E40" w:rsidP="00187E40">
      <w:pPr>
        <w:ind w:firstLine="851"/>
        <w:jc w:val="both"/>
        <w:rPr>
          <w:rFonts w:eastAsia="Calibri"/>
          <w:lang w:val="uk-UA" w:eastAsia="en-US"/>
        </w:rPr>
      </w:pPr>
    </w:p>
    <w:p w:rsidR="00187E40" w:rsidRDefault="00187E40" w:rsidP="00187E40">
      <w:pPr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Судді, які виявили бажання бути відрядженими до </w:t>
      </w:r>
      <w:proofErr w:type="spellStart"/>
      <w:r>
        <w:rPr>
          <w:rFonts w:eastAsia="Calibri"/>
          <w:lang w:val="uk-UA"/>
        </w:rPr>
        <w:t>Синельниківського</w:t>
      </w:r>
      <w:proofErr w:type="spellEnd"/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міськрайонного</w:t>
      </w:r>
      <w:proofErr w:type="spellEnd"/>
      <w:r>
        <w:rPr>
          <w:rFonts w:eastAsia="Calibri"/>
          <w:lang w:val="uk-UA"/>
        </w:rPr>
        <w:t xml:space="preserve"> суду Дніпропетровської області</w:t>
      </w:r>
      <w:r>
        <w:rPr>
          <w:rFonts w:eastAsia="Calibri"/>
          <w:lang w:val="uk-UA" w:eastAsia="en-US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>
        <w:rPr>
          <w:rFonts w:eastAsia="Calibri"/>
          <w:color w:val="000000"/>
          <w:sz w:val="17"/>
          <w:szCs w:val="17"/>
          <w:shd w:val="clear" w:color="auto" w:fill="FFFFFF"/>
          <w:lang w:val="uk-UA" w:eastAsia="en-US"/>
        </w:rPr>
        <w:t>*</w:t>
      </w:r>
      <w:r>
        <w:rPr>
          <w:rFonts w:eastAsia="Calibri"/>
          <w:lang w:val="uk-UA" w:eastAsia="en-US"/>
        </w:rPr>
        <w:t xml:space="preserve">: </w:t>
      </w:r>
    </w:p>
    <w:p w:rsidR="00187E40" w:rsidRDefault="00187E40" w:rsidP="00187E40">
      <w:pPr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 згоду на відрядження до іншого суду того самого рівня і спеціалізації для здійснення правосуддя, </w:t>
      </w:r>
      <w:r>
        <w:rPr>
          <w:rFonts w:eastAsia="Calibri"/>
          <w:u w:val="single"/>
          <w:lang w:val="uk-UA" w:eastAsia="en-US"/>
        </w:rPr>
        <w:t>адресовану Вищій раді правосуддя,</w:t>
      </w:r>
      <w:r>
        <w:rPr>
          <w:rFonts w:eastAsia="Calibri"/>
          <w:lang w:val="uk-UA" w:eastAsia="en-US"/>
        </w:rPr>
        <w:t xml:space="preserve"> за формою згідно з </w:t>
      </w:r>
      <w:r>
        <w:rPr>
          <w:rFonts w:eastAsia="Calibri"/>
          <w:color w:val="0070C0"/>
          <w:u w:val="single"/>
          <w:lang w:val="uk-UA" w:eastAsia="en-US"/>
        </w:rPr>
        <w:t>додатком 1-2 до Порядку</w:t>
      </w:r>
      <w:r>
        <w:rPr>
          <w:rFonts w:eastAsia="Calibri"/>
          <w:lang w:val="uk-UA" w:eastAsia="en-US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187E40" w:rsidRDefault="00187E40" w:rsidP="00187E40">
      <w:pPr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               </w:t>
      </w:r>
      <w:r>
        <w:rPr>
          <w:rFonts w:eastAsia="Calibri"/>
          <w:color w:val="0070C0"/>
          <w:u w:val="single"/>
          <w:lang w:val="uk-UA" w:eastAsia="en-US"/>
        </w:rPr>
        <w:t>додатком 2 до Порядку</w:t>
      </w:r>
      <w:r>
        <w:rPr>
          <w:rFonts w:eastAsia="Calibri"/>
          <w:lang w:val="uk-UA" w:eastAsia="en-US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187E40" w:rsidRDefault="00187E40" w:rsidP="00187E40">
      <w:pPr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187E40" w:rsidRDefault="00187E40" w:rsidP="00187E40">
      <w:pPr>
        <w:jc w:val="both"/>
        <w:rPr>
          <w:rFonts w:eastAsia="Calibri"/>
          <w:lang w:val="uk-UA" w:eastAsia="en-US"/>
        </w:rPr>
      </w:pPr>
    </w:p>
    <w:p w:rsidR="00187E40" w:rsidRDefault="00187E40" w:rsidP="00187E40">
      <w:pPr>
        <w:jc w:val="both"/>
        <w:rPr>
          <w:rFonts w:eastAsia="Calibri"/>
          <w:lang w:val="uk-UA" w:eastAsia="en-US"/>
        </w:rPr>
      </w:pPr>
    </w:p>
    <w:p w:rsidR="00187E40" w:rsidRDefault="00187E40" w:rsidP="00187E40">
      <w:pPr>
        <w:jc w:val="both"/>
        <w:rPr>
          <w:rFonts w:eastAsia="Calibri"/>
          <w:lang w:val="uk-UA" w:eastAsia="en-US"/>
        </w:rPr>
      </w:pPr>
    </w:p>
    <w:p w:rsidR="00187E40" w:rsidRDefault="00187E40" w:rsidP="00187E40">
      <w:pPr>
        <w:ind w:firstLine="708"/>
        <w:jc w:val="both"/>
        <w:rPr>
          <w:rFonts w:eastAsia="Calibri"/>
          <w:sz w:val="20"/>
          <w:szCs w:val="20"/>
          <w:lang w:val="uk-UA" w:eastAsia="en-US"/>
        </w:rPr>
      </w:pPr>
      <w:r>
        <w:rPr>
          <w:rFonts w:eastAsia="Calibri"/>
          <w:color w:val="000000"/>
          <w:sz w:val="17"/>
          <w:szCs w:val="17"/>
          <w:shd w:val="clear" w:color="auto" w:fill="FFFFFF"/>
          <w:lang w:val="uk-UA" w:eastAsia="en-US"/>
        </w:rPr>
        <w:t xml:space="preserve">* </w:t>
      </w:r>
      <w:r>
        <w:rPr>
          <w:rFonts w:eastAsia="Calibri"/>
          <w:sz w:val="20"/>
          <w:szCs w:val="20"/>
          <w:lang w:val="uk-UA" w:eastAsia="en-US"/>
        </w:rPr>
        <w:t>Документи для відрядження можуть бути подані:</w:t>
      </w:r>
    </w:p>
    <w:p w:rsidR="00187E40" w:rsidRDefault="00187E40" w:rsidP="00187E40">
      <w:pPr>
        <w:ind w:firstLine="851"/>
        <w:jc w:val="both"/>
        <w:rPr>
          <w:rFonts w:eastAsia="Calibri"/>
          <w:sz w:val="20"/>
          <w:szCs w:val="20"/>
          <w:lang w:val="uk-UA" w:eastAsia="en-US"/>
        </w:rPr>
      </w:pPr>
      <w:r>
        <w:rPr>
          <w:rFonts w:eastAsia="Calibri"/>
          <w:sz w:val="20"/>
          <w:szCs w:val="20"/>
          <w:lang w:val="uk-UA" w:eastAsia="en-US"/>
        </w:rPr>
        <w:t xml:space="preserve"> суддею особисто до Вищої ради правосуддя з понеділка по четвер з 08 </w:t>
      </w:r>
      <w:proofErr w:type="spellStart"/>
      <w:r>
        <w:rPr>
          <w:rFonts w:eastAsia="Calibri"/>
          <w:sz w:val="20"/>
          <w:szCs w:val="20"/>
          <w:lang w:val="uk-UA" w:eastAsia="en-US"/>
        </w:rPr>
        <w:t>год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00 </w:t>
      </w:r>
      <w:proofErr w:type="spellStart"/>
      <w:r>
        <w:rPr>
          <w:rFonts w:eastAsia="Calibri"/>
          <w:sz w:val="20"/>
          <w:szCs w:val="20"/>
          <w:lang w:val="uk-UA" w:eastAsia="en-US"/>
        </w:rPr>
        <w:t>хв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до 12 </w:t>
      </w:r>
      <w:proofErr w:type="spellStart"/>
      <w:r>
        <w:rPr>
          <w:rFonts w:eastAsia="Calibri"/>
          <w:sz w:val="20"/>
          <w:szCs w:val="20"/>
          <w:lang w:val="uk-UA" w:eastAsia="en-US"/>
        </w:rPr>
        <w:t>год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00 </w:t>
      </w:r>
      <w:proofErr w:type="spellStart"/>
      <w:r>
        <w:rPr>
          <w:rFonts w:eastAsia="Calibri"/>
          <w:sz w:val="20"/>
          <w:szCs w:val="20"/>
          <w:lang w:val="uk-UA" w:eastAsia="en-US"/>
        </w:rPr>
        <w:t>хв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та з            12 </w:t>
      </w:r>
      <w:proofErr w:type="spellStart"/>
      <w:r>
        <w:rPr>
          <w:rFonts w:eastAsia="Calibri"/>
          <w:sz w:val="20"/>
          <w:szCs w:val="20"/>
          <w:lang w:val="uk-UA" w:eastAsia="en-US"/>
        </w:rPr>
        <w:t>год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45 </w:t>
      </w:r>
      <w:proofErr w:type="spellStart"/>
      <w:r>
        <w:rPr>
          <w:rFonts w:eastAsia="Calibri"/>
          <w:sz w:val="20"/>
          <w:szCs w:val="20"/>
          <w:lang w:val="uk-UA" w:eastAsia="en-US"/>
        </w:rPr>
        <w:t>хв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до 16 </w:t>
      </w:r>
      <w:proofErr w:type="spellStart"/>
      <w:r>
        <w:rPr>
          <w:rFonts w:eastAsia="Calibri"/>
          <w:sz w:val="20"/>
          <w:szCs w:val="20"/>
          <w:lang w:val="uk-UA" w:eastAsia="en-US"/>
        </w:rPr>
        <w:t>год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00 </w:t>
      </w:r>
      <w:proofErr w:type="spellStart"/>
      <w:r>
        <w:rPr>
          <w:rFonts w:eastAsia="Calibri"/>
          <w:sz w:val="20"/>
          <w:szCs w:val="20"/>
          <w:lang w:val="uk-UA" w:eastAsia="en-US"/>
        </w:rPr>
        <w:t>хв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, у п’ятницю з 08 </w:t>
      </w:r>
      <w:proofErr w:type="spellStart"/>
      <w:r>
        <w:rPr>
          <w:rFonts w:eastAsia="Calibri"/>
          <w:sz w:val="20"/>
          <w:szCs w:val="20"/>
          <w:lang w:val="uk-UA" w:eastAsia="en-US"/>
        </w:rPr>
        <w:t>год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00 </w:t>
      </w:r>
      <w:proofErr w:type="spellStart"/>
      <w:r>
        <w:rPr>
          <w:rFonts w:eastAsia="Calibri"/>
          <w:sz w:val="20"/>
          <w:szCs w:val="20"/>
          <w:lang w:val="uk-UA" w:eastAsia="en-US"/>
        </w:rPr>
        <w:t>хв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до 12 </w:t>
      </w:r>
      <w:proofErr w:type="spellStart"/>
      <w:r>
        <w:rPr>
          <w:rFonts w:eastAsia="Calibri"/>
          <w:sz w:val="20"/>
          <w:szCs w:val="20"/>
          <w:lang w:val="uk-UA" w:eastAsia="en-US"/>
        </w:rPr>
        <w:t>год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00 </w:t>
      </w:r>
      <w:proofErr w:type="spellStart"/>
      <w:r>
        <w:rPr>
          <w:rFonts w:eastAsia="Calibri"/>
          <w:sz w:val="20"/>
          <w:szCs w:val="20"/>
          <w:lang w:val="uk-UA" w:eastAsia="en-US"/>
        </w:rPr>
        <w:t>хв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та з 12 </w:t>
      </w:r>
      <w:proofErr w:type="spellStart"/>
      <w:r>
        <w:rPr>
          <w:rFonts w:eastAsia="Calibri"/>
          <w:sz w:val="20"/>
          <w:szCs w:val="20"/>
          <w:lang w:val="uk-UA" w:eastAsia="en-US"/>
        </w:rPr>
        <w:t>год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45 </w:t>
      </w:r>
      <w:proofErr w:type="spellStart"/>
      <w:r>
        <w:rPr>
          <w:rFonts w:eastAsia="Calibri"/>
          <w:sz w:val="20"/>
          <w:szCs w:val="20"/>
          <w:lang w:val="uk-UA" w:eastAsia="en-US"/>
        </w:rPr>
        <w:t>хв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до 15 </w:t>
      </w:r>
      <w:proofErr w:type="spellStart"/>
      <w:r>
        <w:rPr>
          <w:rFonts w:eastAsia="Calibri"/>
          <w:sz w:val="20"/>
          <w:szCs w:val="20"/>
          <w:lang w:val="uk-UA" w:eastAsia="en-US"/>
        </w:rPr>
        <w:t>год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00 </w:t>
      </w:r>
      <w:proofErr w:type="spellStart"/>
      <w:r>
        <w:rPr>
          <w:rFonts w:eastAsia="Calibri"/>
          <w:sz w:val="20"/>
          <w:szCs w:val="20"/>
          <w:lang w:val="uk-UA" w:eastAsia="en-US"/>
        </w:rPr>
        <w:t>хв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                          за адресою: м. Київ, вул. Студентська, 12-А;</w:t>
      </w:r>
    </w:p>
    <w:p w:rsidR="00187E40" w:rsidRDefault="00187E40" w:rsidP="00187E40">
      <w:pPr>
        <w:ind w:firstLine="851"/>
        <w:jc w:val="both"/>
        <w:rPr>
          <w:rFonts w:eastAsia="Calibri"/>
          <w:sz w:val="20"/>
          <w:szCs w:val="20"/>
          <w:lang w:val="uk-UA" w:eastAsia="en-US"/>
        </w:rPr>
      </w:pPr>
      <w:r>
        <w:rPr>
          <w:rFonts w:eastAsia="Calibri"/>
          <w:sz w:val="20"/>
          <w:szCs w:val="20"/>
          <w:lang w:val="uk-UA" w:eastAsia="en-US"/>
        </w:rPr>
        <w:t xml:space="preserve"> електронною поштою на адресу </w:t>
      </w:r>
      <w:hyperlink r:id="rId7" w:history="1">
        <w:r>
          <w:rPr>
            <w:rStyle w:val="a7"/>
            <w:rFonts w:eastAsia="Calibri"/>
            <w:color w:val="0563C1"/>
            <w:sz w:val="20"/>
            <w:szCs w:val="20"/>
            <w:lang w:val="uk-UA" w:eastAsia="en-US"/>
          </w:rPr>
          <w:t>assistant@hcj.gov.ua</w:t>
        </w:r>
      </w:hyperlink>
      <w:r>
        <w:rPr>
          <w:sz w:val="20"/>
          <w:szCs w:val="20"/>
          <w:lang w:val="uk-UA"/>
        </w:rPr>
        <w:t>.</w:t>
      </w:r>
    </w:p>
    <w:p w:rsidR="00187E40" w:rsidRDefault="00187E40" w:rsidP="00187E40">
      <w:pPr>
        <w:ind w:firstLine="851"/>
        <w:jc w:val="both"/>
        <w:rPr>
          <w:rFonts w:eastAsia="Calibri"/>
          <w:sz w:val="20"/>
          <w:szCs w:val="20"/>
          <w:lang w:val="uk-UA" w:eastAsia="en-US"/>
        </w:rPr>
      </w:pPr>
      <w:r>
        <w:rPr>
          <w:rFonts w:eastAsia="Calibri"/>
          <w:sz w:val="20"/>
          <w:szCs w:val="20"/>
          <w:lang w:val="uk-UA" w:eastAsia="en-US"/>
        </w:rPr>
        <w:t xml:space="preserve">Документи щодо відрядження, які надсилаються електронною поштою, мають бути </w:t>
      </w:r>
      <w:proofErr w:type="spellStart"/>
      <w:r>
        <w:rPr>
          <w:rFonts w:eastAsia="Calibri"/>
          <w:sz w:val="20"/>
          <w:szCs w:val="20"/>
          <w:lang w:val="uk-UA" w:eastAsia="en-US"/>
        </w:rPr>
        <w:t>відскановані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окремими файлами у форматі </w:t>
      </w:r>
      <w:r>
        <w:rPr>
          <w:rFonts w:eastAsia="Calibri"/>
          <w:sz w:val="20"/>
          <w:szCs w:val="20"/>
          <w:lang w:val="en-US" w:eastAsia="en-US"/>
        </w:rPr>
        <w:t>PDF</w:t>
      </w:r>
      <w:r>
        <w:rPr>
          <w:rFonts w:eastAsia="Calibri"/>
          <w:sz w:val="20"/>
          <w:szCs w:val="20"/>
          <w:lang w:val="uk-UA" w:eastAsia="en-US"/>
        </w:rPr>
        <w:t xml:space="preserve"> із зазначенням назви кожного з них. Також має бути додане </w:t>
      </w:r>
      <w:proofErr w:type="spellStart"/>
      <w:r>
        <w:rPr>
          <w:rFonts w:eastAsia="Calibri"/>
          <w:sz w:val="20"/>
          <w:szCs w:val="20"/>
          <w:lang w:val="uk-UA" w:eastAsia="en-US"/>
        </w:rPr>
        <w:t>відскановане</w:t>
      </w:r>
      <w:proofErr w:type="spellEnd"/>
      <w:r>
        <w:rPr>
          <w:rFonts w:eastAsia="Calibri"/>
          <w:sz w:val="20"/>
          <w:szCs w:val="20"/>
          <w:lang w:val="uk-UA" w:eastAsia="en-US"/>
        </w:rPr>
        <w:t xml:space="preserve"> у форматі </w:t>
      </w:r>
      <w:r>
        <w:rPr>
          <w:rFonts w:eastAsia="Calibri"/>
          <w:sz w:val="20"/>
          <w:szCs w:val="20"/>
          <w:lang w:val="en-US" w:eastAsia="en-US"/>
        </w:rPr>
        <w:t>PDF</w:t>
      </w:r>
      <w:r>
        <w:rPr>
          <w:rFonts w:eastAsia="Calibri"/>
          <w:sz w:val="20"/>
          <w:szCs w:val="20"/>
          <w:lang w:val="uk-UA" w:eastAsia="en-US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із розрахунковим документом).</w:t>
      </w:r>
    </w:p>
    <w:p w:rsidR="00187E40" w:rsidRDefault="00187E40" w:rsidP="00187E40">
      <w:pPr>
        <w:ind w:firstLine="708"/>
        <w:jc w:val="both"/>
        <w:rPr>
          <w:lang w:val="uk-UA"/>
        </w:rPr>
      </w:pPr>
      <w:r>
        <w:rPr>
          <w:rFonts w:eastAsia="Calibri"/>
          <w:sz w:val="20"/>
          <w:szCs w:val="20"/>
          <w:lang w:val="uk-UA" w:eastAsia="en-US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змінами), та умов, зазначених в оголошенні.</w:t>
      </w:r>
    </w:p>
    <w:p w:rsidR="00187E40" w:rsidRPr="008E0868" w:rsidRDefault="00187E40">
      <w:pPr>
        <w:rPr>
          <w:lang w:val="uk-UA"/>
        </w:rPr>
      </w:pPr>
    </w:p>
    <w:sectPr w:rsidR="00187E40" w:rsidRPr="008E0868" w:rsidSect="008E086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6E3" w:rsidRDefault="006C26E3" w:rsidP="008E0868">
      <w:r>
        <w:separator/>
      </w:r>
    </w:p>
  </w:endnote>
  <w:endnote w:type="continuationSeparator" w:id="0">
    <w:p w:rsidR="006C26E3" w:rsidRDefault="006C26E3" w:rsidP="008E0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6E3" w:rsidRDefault="006C26E3" w:rsidP="008E0868">
      <w:r>
        <w:separator/>
      </w:r>
    </w:p>
  </w:footnote>
  <w:footnote w:type="continuationSeparator" w:id="0">
    <w:p w:rsidR="006C26E3" w:rsidRDefault="006C26E3" w:rsidP="008E08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868" w:rsidRDefault="008E0868">
    <w:pPr>
      <w:pStyle w:val="a3"/>
      <w:jc w:val="center"/>
    </w:pPr>
  </w:p>
  <w:p w:rsidR="008E0868" w:rsidRDefault="008E086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0868"/>
    <w:rsid w:val="00001EB3"/>
    <w:rsid w:val="000567FF"/>
    <w:rsid w:val="00171030"/>
    <w:rsid w:val="00187E40"/>
    <w:rsid w:val="00232203"/>
    <w:rsid w:val="002A1446"/>
    <w:rsid w:val="004D7BC8"/>
    <w:rsid w:val="006C26E3"/>
    <w:rsid w:val="008E0868"/>
    <w:rsid w:val="008E7C77"/>
    <w:rsid w:val="00963EF2"/>
    <w:rsid w:val="009D09EF"/>
    <w:rsid w:val="00BE4E2F"/>
    <w:rsid w:val="00D06ECC"/>
    <w:rsid w:val="00F8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086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086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8E086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086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187E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6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ssistant@hcj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4238</Words>
  <Characters>2417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Нагірняк (VRU-LENOVOMONO1 - i.nagirnyak)</dc:creator>
  <cp:keywords/>
  <dc:description/>
  <cp:lastModifiedBy>Інна Нагірняк (VRU-LENOVOMONO1 - i.nagirnyak)</cp:lastModifiedBy>
  <cp:revision>7</cp:revision>
  <cp:lastPrinted>2020-11-23T06:22:00Z</cp:lastPrinted>
  <dcterms:created xsi:type="dcterms:W3CDTF">2020-11-18T07:05:00Z</dcterms:created>
  <dcterms:modified xsi:type="dcterms:W3CDTF">2020-11-24T06:38:00Z</dcterms:modified>
</cp:coreProperties>
</file>