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A52" w:rsidRDefault="00ED6A52" w:rsidP="00ED6A52">
      <w:pPr>
        <w:spacing w:before="100" w:beforeAutospacing="1" w:after="100" w:afterAutospacing="1" w:line="240" w:lineRule="auto"/>
        <w:outlineLvl w:val="0"/>
        <w:rPr>
          <w:rFonts w:ascii="Roboto Condensed Light" w:eastAsia="Times New Roman" w:hAnsi="Roboto Condensed Light" w:cs="Times New Roman"/>
          <w:b/>
          <w:bCs/>
          <w:kern w:val="36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b/>
          <w:bCs/>
          <w:kern w:val="36"/>
          <w:sz w:val="24"/>
          <w:szCs w:val="24"/>
          <w:lang w:eastAsia="ru-RU"/>
        </w:rPr>
        <w:t xml:space="preserve">Порядок </w:t>
      </w:r>
      <w:proofErr w:type="spellStart"/>
      <w:r w:rsidRPr="00ED6A52">
        <w:rPr>
          <w:rFonts w:ascii="Roboto Condensed Light" w:eastAsia="Times New Roman" w:hAnsi="Roboto Condensed Light" w:cs="Times New Roman"/>
          <w:b/>
          <w:bCs/>
          <w:kern w:val="36"/>
          <w:sz w:val="24"/>
          <w:szCs w:val="24"/>
          <w:lang w:eastAsia="ru-RU"/>
        </w:rPr>
        <w:t>взаємодії</w:t>
      </w:r>
      <w:proofErr w:type="spellEnd"/>
      <w:r w:rsidRPr="00ED6A52">
        <w:rPr>
          <w:rFonts w:ascii="Roboto Condensed Light" w:eastAsia="Times New Roman" w:hAnsi="Roboto Condensed Light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b/>
          <w:bCs/>
          <w:kern w:val="36"/>
          <w:sz w:val="24"/>
          <w:szCs w:val="24"/>
          <w:lang w:eastAsia="ru-RU"/>
        </w:rPr>
        <w:t>зі</w:t>
      </w:r>
      <w:proofErr w:type="spellEnd"/>
      <w:r w:rsidRPr="00ED6A52">
        <w:rPr>
          <w:rFonts w:ascii="Roboto Condensed Light" w:eastAsia="Times New Roman" w:hAnsi="Roboto Condensed Light" w:cs="Times New Roman"/>
          <w:b/>
          <w:bCs/>
          <w:kern w:val="36"/>
          <w:sz w:val="24"/>
          <w:szCs w:val="24"/>
          <w:lang w:eastAsia="ru-RU"/>
        </w:rPr>
        <w:t xml:space="preserve"> ЗМІ </w:t>
      </w:r>
    </w:p>
    <w:p w:rsidR="00ED6A52" w:rsidRDefault="00ED6A52" w:rsidP="00ED6A52">
      <w:pPr>
        <w:spacing w:before="100" w:beforeAutospacing="1" w:after="100" w:afterAutospacing="1" w:line="240" w:lineRule="auto"/>
        <w:ind w:left="5664"/>
        <w:outlineLvl w:val="0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Затверджено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наказом</w:t>
      </w: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</w:p>
    <w:p w:rsidR="00ED6A52" w:rsidRDefault="00ED6A52" w:rsidP="00ED6A52">
      <w:pPr>
        <w:spacing w:before="100" w:beforeAutospacing="1" w:after="100" w:afterAutospacing="1" w:line="240" w:lineRule="auto"/>
        <w:ind w:left="5664"/>
        <w:outlineLvl w:val="0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Верховного Суду </w:t>
      </w:r>
    </w:p>
    <w:p w:rsidR="00ED6A52" w:rsidRPr="00ED6A52" w:rsidRDefault="00ED6A52" w:rsidP="00ED6A52">
      <w:pPr>
        <w:spacing w:before="100" w:beforeAutospacing="1" w:after="100" w:afterAutospacing="1" w:line="240" w:lineRule="auto"/>
        <w:ind w:left="5664"/>
        <w:outlineLvl w:val="0"/>
        <w:rPr>
          <w:rFonts w:ascii="Roboto Condensed Light" w:eastAsia="Times New Roman" w:hAnsi="Roboto Condensed Light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07.11.2018 р.</w:t>
      </w: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r>
        <w:rPr>
          <w:rFonts w:ascii="Roboto Condensed Light" w:eastAsia="Times New Roman" w:hAnsi="Roboto Condensed Light" w:cs="Times New Roman"/>
          <w:sz w:val="24"/>
          <w:szCs w:val="24"/>
          <w:lang w:val="en-US" w:eastAsia="ru-RU"/>
        </w:rPr>
        <w:t xml:space="preserve"> </w:t>
      </w: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№ 173–ОД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center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                                 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center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bookmarkStart w:id="0" w:name="_GoBack"/>
      <w:bookmarkEnd w:id="0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  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center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b/>
          <w:bCs/>
          <w:sz w:val="24"/>
          <w:szCs w:val="24"/>
          <w:lang w:eastAsia="ru-RU"/>
        </w:rPr>
        <w:t>ПОРЯДОК</w:t>
      </w: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br/>
      </w:r>
      <w:proofErr w:type="spellStart"/>
      <w:r w:rsidRPr="00ED6A52">
        <w:rPr>
          <w:rFonts w:ascii="Roboto Condensed Light" w:eastAsia="Times New Roman" w:hAnsi="Roboto Condensed Light" w:cs="Times New Roman"/>
          <w:b/>
          <w:bCs/>
          <w:sz w:val="24"/>
          <w:szCs w:val="24"/>
          <w:lang w:eastAsia="ru-RU"/>
        </w:rPr>
        <w:t>взаємодії</w:t>
      </w:r>
      <w:proofErr w:type="spellEnd"/>
      <w:r w:rsidRPr="00ED6A52">
        <w:rPr>
          <w:rFonts w:ascii="Roboto Condensed Light" w:eastAsia="Times New Roman" w:hAnsi="Roboto Condensed Light" w:cs="Times New Roman"/>
          <w:b/>
          <w:bCs/>
          <w:sz w:val="24"/>
          <w:szCs w:val="24"/>
          <w:lang w:eastAsia="ru-RU"/>
        </w:rPr>
        <w:t xml:space="preserve"> Верховного Суду з </w:t>
      </w:r>
      <w:proofErr w:type="spellStart"/>
      <w:r w:rsidRPr="00ED6A52">
        <w:rPr>
          <w:rFonts w:ascii="Roboto Condensed Light" w:eastAsia="Times New Roman" w:hAnsi="Roboto Condensed Light" w:cs="Times New Roman"/>
          <w:b/>
          <w:bCs/>
          <w:sz w:val="24"/>
          <w:szCs w:val="24"/>
          <w:lang w:eastAsia="ru-RU"/>
        </w:rPr>
        <w:t>представниками</w:t>
      </w:r>
      <w:proofErr w:type="spellEnd"/>
      <w:r w:rsidRPr="00ED6A52">
        <w:rPr>
          <w:rFonts w:ascii="Roboto Condensed Light" w:eastAsia="Times New Roman" w:hAnsi="Roboto Condensed Light" w:cs="Times New Roman"/>
          <w:b/>
          <w:bCs/>
          <w:sz w:val="24"/>
          <w:szCs w:val="24"/>
          <w:lang w:eastAsia="ru-RU"/>
        </w:rPr>
        <w:t xml:space="preserve"> </w:t>
      </w: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br/>
      </w:r>
      <w:proofErr w:type="spellStart"/>
      <w:r w:rsidRPr="00ED6A52">
        <w:rPr>
          <w:rFonts w:ascii="Roboto Condensed Light" w:eastAsia="Times New Roman" w:hAnsi="Roboto Condensed Light" w:cs="Times New Roman"/>
          <w:b/>
          <w:bCs/>
          <w:sz w:val="24"/>
          <w:szCs w:val="24"/>
          <w:lang w:eastAsia="ru-RU"/>
        </w:rPr>
        <w:t>засобів</w:t>
      </w:r>
      <w:proofErr w:type="spellEnd"/>
      <w:r w:rsidRPr="00ED6A52">
        <w:rPr>
          <w:rFonts w:ascii="Roboto Condensed Light" w:eastAsia="Times New Roman" w:hAnsi="Roboto Condensed Ligh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b/>
          <w:bCs/>
          <w:sz w:val="24"/>
          <w:szCs w:val="24"/>
          <w:lang w:eastAsia="ru-RU"/>
        </w:rPr>
        <w:t>масової</w:t>
      </w:r>
      <w:proofErr w:type="spellEnd"/>
      <w:r w:rsidRPr="00ED6A52">
        <w:rPr>
          <w:rFonts w:ascii="Roboto Condensed Light" w:eastAsia="Times New Roman" w:hAnsi="Roboto Condensed Ligh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b/>
          <w:bCs/>
          <w:sz w:val="24"/>
          <w:szCs w:val="24"/>
          <w:lang w:eastAsia="ru-RU"/>
        </w:rPr>
        <w:t>інформації</w:t>
      </w:r>
      <w:proofErr w:type="spellEnd"/>
    </w:p>
    <w:p w:rsidR="00ED6A52" w:rsidRPr="00ED6A52" w:rsidRDefault="00ED6A52" w:rsidP="00ED6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Взаємодія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Верховного Суду (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далі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– Суд)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із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українськими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зарубіжними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засобами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масової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інформації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в тому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числі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соціальними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медіа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електронними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Інтернет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-ресурсами (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далі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– ЗМІ)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відбувається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відповідно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до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Конституції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України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процесуального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законодавства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законів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України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«Про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судоустрій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і статус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суддів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», «Про доступ до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публічної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інформації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», «Про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інформацію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», «Про порядок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висвітлення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діяльності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органів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державної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влади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органів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місцевого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самоврядування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Україні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засобами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масової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інформації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», «Про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друковані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засоби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масової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інформації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(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пресу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) в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Україні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», «Про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телебачення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і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радіомовлення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», «Про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інформаційні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агентства»,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Положення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апарат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Верховного Суду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цього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Положення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</w:t>
      </w:r>
    </w:p>
    <w:p w:rsidR="00ED6A52" w:rsidRPr="00ED6A52" w:rsidRDefault="00ED6A52" w:rsidP="00ED6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Організація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роботи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із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взаємодії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здійснюється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керівником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управління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забезпечення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інформаційної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комунікаційної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діяльності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(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прес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-центру) (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далі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–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Управління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) Суду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чи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особою, яка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виконує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його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обов’язки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</w:t>
      </w:r>
    </w:p>
    <w:p w:rsidR="00ED6A52" w:rsidRPr="00ED6A52" w:rsidRDefault="00ED6A52" w:rsidP="00ED6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Доступ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до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публічної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зони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приміщення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залів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судових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де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відкрито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слухаються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справи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здійснюється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загальних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підставах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 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урахуванням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Інструкції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здійснення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державної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охорони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Верховного Суду та порядок допуску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об’єкт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охорони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погодженої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Управлінням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державної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охорони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України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13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грудня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2017 року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затвердженої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Головою Верховного Суду 14 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грудня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2017 року.</w:t>
      </w:r>
    </w:p>
    <w:p w:rsidR="00ED6A52" w:rsidRPr="00ED6A52" w:rsidRDefault="00ED6A52" w:rsidP="00ED6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Присутність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судових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засіданнях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відбувається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без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попередньої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акредитації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пред’явленням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що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посвідчує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особу,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крім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випадків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проведення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закритих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судових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відповідно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до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процесуального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законодавства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</w:t>
      </w:r>
    </w:p>
    <w:p w:rsidR="00ED6A52" w:rsidRPr="00ED6A52" w:rsidRDefault="00ED6A52" w:rsidP="00ED6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ЗМІ, як і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інші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учасники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процесу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та особи,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присутні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відкритому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судовому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можуть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проводити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залі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фотозйомку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відео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-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аудіозапис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використанням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портативних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відео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-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аудіотехнічних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засобів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без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отримання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окремого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дозволу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суду, але 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урахуванням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обмежень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встановлених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законом.</w:t>
      </w:r>
    </w:p>
    <w:p w:rsidR="00ED6A52" w:rsidRPr="00ED6A52" w:rsidRDefault="00ED6A52" w:rsidP="00ED6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Трансляція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здійснюється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дозволу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Суду.</w:t>
      </w:r>
    </w:p>
    <w:p w:rsidR="00ED6A52" w:rsidRPr="00ED6A52" w:rsidRDefault="00ED6A52" w:rsidP="00ED6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Проведення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залі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фотозйомки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відеозапису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також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трансляція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повинні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здійснюватися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без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створення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перешкод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веденні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і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здійсненні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учасниками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процесу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їхніх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процесуальних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прав. Суд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може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визначити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місце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залі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судових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якого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має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проводитися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фотозйомка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відеозапис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</w:t>
      </w:r>
    </w:p>
    <w:p w:rsidR="00ED6A52" w:rsidRPr="00ED6A52" w:rsidRDefault="00ED6A52" w:rsidP="00ED6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присутні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судовому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мають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дотримуватися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загальних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правил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поведінки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 судовому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засіданні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вимог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процесуального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законодавства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не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lastRenderedPageBreak/>
        <w:t>порушувати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права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інших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осіб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не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заважати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здійсненню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правосуддя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.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Порушення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вищезазначених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вимог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тягне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 собою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відповідальність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установлену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законом.</w:t>
      </w:r>
    </w:p>
    <w:p w:rsidR="00ED6A52" w:rsidRPr="00ED6A52" w:rsidRDefault="00ED6A52" w:rsidP="00ED6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Акредитація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на заходи,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організовані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Судом та не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пов’язані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процесуальною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діяльністю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здійснюється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кожен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захід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окремо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шляхом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складання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Управлінням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відповідних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списків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</w:t>
      </w:r>
    </w:p>
    <w:p w:rsidR="00ED6A52" w:rsidRPr="00ED6A52" w:rsidRDefault="00ED6A52" w:rsidP="00ED6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Суд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може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здійснювати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постійну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акредитацію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ЗМІ. Правила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постійної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акредитації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визначаються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окремим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положенням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акредитацію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10.1. 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разі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запровадження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постійної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акредитації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в </w:t>
      </w:r>
      <w:proofErr w:type="spellStart"/>
      <w:proofErr w:type="gram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Суді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 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акредитовані</w:t>
      </w:r>
      <w:proofErr w:type="spellEnd"/>
      <w:proofErr w:type="gram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матимуть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можливість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відвідувати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публічні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офіційні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заходи Суду без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необхідності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проходження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повної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акредитації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але 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повідомленням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присутність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такого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представника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заході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10.2. Списки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які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висловили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бажання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бути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присутніми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відповідному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заході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складаються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основі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телефонних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письмових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надісланих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електронною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поштою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заявок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або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допомогою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заповнення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спеціальних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електронних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форм (до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введення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функціоналу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для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акредитації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офіційному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веб-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сайті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Суду)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із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зазначенням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імен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прізвищ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які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вони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представляють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і в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часових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межах,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визначених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прес-анонсі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</w:t>
      </w:r>
    </w:p>
    <w:p w:rsidR="00ED6A52" w:rsidRPr="00ED6A52" w:rsidRDefault="00ED6A52" w:rsidP="00ED6A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Інформування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події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та заходи,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відкриті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для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відвідування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які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проводитиме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відбувається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шляхом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завчасного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розміщення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прес-анонсів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офіційному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веб-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сайті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офіційній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сторінці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в 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мережі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Фейсбук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розсилання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їх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електронні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адреси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ЗМІ.</w:t>
      </w:r>
    </w:p>
    <w:p w:rsidR="00ED6A52" w:rsidRPr="00ED6A52" w:rsidRDefault="00ED6A52" w:rsidP="00ED6A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разі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якщо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кількість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які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виявили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бажання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акредитуватися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захід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перевищує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кількість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місць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приміщенні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де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відбувається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захід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Управління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може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відмовити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акредитації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повідомивши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про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це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ЗМІ.</w:t>
      </w:r>
    </w:p>
    <w:p w:rsidR="00ED6A52" w:rsidRPr="00ED6A52" w:rsidRDefault="00ED6A52" w:rsidP="00ED6A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повинні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дотримуватись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Порядку допуску до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адміністративних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будівель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Верховного Суду,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що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розташовані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 адресами: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 м.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Київ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вул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 П. Орлика, 8 (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Кловський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палац);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 м.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Київ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вул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.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Московська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, 8, корп. 5;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 м.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Київ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вул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 О. Копиленка, 6;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 м.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Київ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вул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 П. Орлика, 4, 4а;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 м.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Київ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просп.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Повітрофлотський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, 28,</w:t>
      </w:r>
    </w:p>
    <w:p w:rsidR="00ED6A52" w:rsidRPr="00ED6A52" w:rsidRDefault="00ED6A52" w:rsidP="00ED6A52">
      <w:p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приходити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заздалегідь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(не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пізніше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ніж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 10–20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хвилин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gram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до початку</w:t>
      </w:r>
      <w:proofErr w:type="gram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заходу),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маючи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при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собі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документ,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що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посвідчує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особу та /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або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редакційне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посвідчення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</w:t>
      </w:r>
    </w:p>
    <w:p w:rsidR="00ED6A52" w:rsidRPr="00ED6A52" w:rsidRDefault="00ED6A52" w:rsidP="00ED6A5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Організаційне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сприяння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виконанню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представниками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професійних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обов’язків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забезпечення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їх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інформаційними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матеріалами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захід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що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відбувається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здійснюється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Управлінням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спільно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структурними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підрозділами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які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відповідають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організацію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заходу.</w:t>
      </w:r>
    </w:p>
    <w:p w:rsidR="00ED6A52" w:rsidRPr="00ED6A52" w:rsidRDefault="00ED6A52" w:rsidP="00ED6A5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Висвітлення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діяльності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у ЗМІ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відбувається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також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шляхом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розсилання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електронною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поштою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Управлінням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повідомлень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у ЗМІ.</w:t>
      </w:r>
    </w:p>
    <w:p w:rsidR="00ED6A52" w:rsidRPr="00ED6A52" w:rsidRDefault="00ED6A52" w:rsidP="00ED6A5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lastRenderedPageBreak/>
        <w:t>Відповіді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усні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письмові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надіслані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електронною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поштою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звернення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надаються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Управлінням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</w:t>
      </w:r>
      <w:proofErr w:type="gram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 порядку</w:t>
      </w:r>
      <w:proofErr w:type="gram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,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визначеному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керівником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або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особою, яка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виконує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його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обов’язки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.</w:t>
      </w:r>
    </w:p>
    <w:p w:rsidR="00ED6A52" w:rsidRPr="00ED6A52" w:rsidRDefault="00ED6A52" w:rsidP="00ED6A5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</w:pP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Відповіді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на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інформаційні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запити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представників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українських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та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іноземних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ЗМІ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щодо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діяльності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готують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gram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 межах</w:t>
      </w:r>
      <w:proofErr w:type="gram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своєї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компетенції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керівник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Управління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спільно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з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керівниками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інших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самостійних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структурних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підрозділів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</w:t>
      </w:r>
      <w:proofErr w:type="spellStart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>апарату</w:t>
      </w:r>
      <w:proofErr w:type="spellEnd"/>
      <w:r w:rsidRPr="00ED6A52">
        <w:rPr>
          <w:rFonts w:ascii="Roboto Condensed Light" w:eastAsia="Times New Roman" w:hAnsi="Roboto Condensed Light" w:cs="Times New Roman"/>
          <w:sz w:val="24"/>
          <w:szCs w:val="24"/>
          <w:lang w:eastAsia="ru-RU"/>
        </w:rPr>
        <w:t xml:space="preserve"> Суду.</w:t>
      </w:r>
    </w:p>
    <w:p w:rsidR="000A5239" w:rsidRPr="00ED6A52" w:rsidRDefault="000A5239">
      <w:pPr>
        <w:rPr>
          <w:rFonts w:ascii="Roboto Condensed Light" w:hAnsi="Roboto Condensed Light"/>
          <w:sz w:val="24"/>
          <w:szCs w:val="24"/>
        </w:rPr>
      </w:pPr>
    </w:p>
    <w:sectPr w:rsidR="000A5239" w:rsidRPr="00ED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83951"/>
    <w:multiLevelType w:val="multilevel"/>
    <w:tmpl w:val="0B8EA3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30BF8"/>
    <w:multiLevelType w:val="multilevel"/>
    <w:tmpl w:val="A5820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A1030"/>
    <w:multiLevelType w:val="multilevel"/>
    <w:tmpl w:val="67F6D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52"/>
    <w:rsid w:val="000A5239"/>
    <w:rsid w:val="00ED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735C"/>
  <w15:chartTrackingRefBased/>
  <w15:docId w15:val="{0D62AAB7-E93F-42DA-AD31-3AFA5B4D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БЕЗСМЕРТНА Галина Михайлівна</dc:creator>
  <cp:keywords/>
  <dc:description/>
  <cp:lastModifiedBy>БЕЗСМЕРТНА Галина Михайлівна</cp:lastModifiedBy>
  <cp:revision>1</cp:revision>
  <dcterms:created xsi:type="dcterms:W3CDTF">2019-08-14T12:33:00Z</dcterms:created>
  <dcterms:modified xsi:type="dcterms:W3CDTF">2019-08-14T12:35:00Z</dcterms:modified>
</cp:coreProperties>
</file>