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FE" w:rsidRDefault="00564E49" w:rsidP="00853A1A">
      <w:pPr>
        <w:jc w:val="center"/>
      </w:pPr>
      <w:r>
        <w:rPr>
          <w:noProof/>
        </w:rPr>
        <w:drawing>
          <wp:inline distT="0" distB="0" distL="0" distR="0">
            <wp:extent cx="563880" cy="6858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3FE" w:rsidRDefault="00C843FE" w:rsidP="00853A1A">
      <w:pPr>
        <w:ind w:right="-185"/>
      </w:pPr>
    </w:p>
    <w:p w:rsidR="0070560C" w:rsidRPr="0070560C" w:rsidRDefault="00C843FE" w:rsidP="0070560C">
      <w:pPr>
        <w:ind w:left="-180" w:right="-185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ДЕПАРТАМЕНТ ФІНАНСІВ</w:t>
      </w:r>
      <w:r w:rsidR="0070560C" w:rsidRPr="0070560C">
        <w:rPr>
          <w:sz w:val="32"/>
          <w:szCs w:val="32"/>
        </w:rPr>
        <w:t xml:space="preserve"> </w:t>
      </w:r>
      <w:r w:rsidR="0070560C" w:rsidRPr="0070560C">
        <w:rPr>
          <w:b/>
          <w:sz w:val="32"/>
          <w:szCs w:val="32"/>
          <w:lang w:val="uk-UA"/>
        </w:rPr>
        <w:t>ВИКОНКОМУ  КРИВОРІЗЬКОЇ  МІСЬКОЇ  РАДИ</w:t>
      </w:r>
    </w:p>
    <w:p w:rsidR="00835FC3" w:rsidRDefault="006B332B" w:rsidP="00835F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:rsidR="00835FC3" w:rsidRDefault="00835FC3" w:rsidP="00835F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м. Кривий Ріг</w:t>
      </w:r>
    </w:p>
    <w:p w:rsidR="00C843FE" w:rsidRDefault="00C843FE" w:rsidP="007965AB">
      <w:pPr>
        <w:ind w:left="-181"/>
        <w:rPr>
          <w:i/>
          <w:sz w:val="26"/>
          <w:szCs w:val="26"/>
          <w:lang w:val="uk-UA"/>
        </w:rPr>
      </w:pPr>
    </w:p>
    <w:p w:rsidR="00C02EA7" w:rsidRDefault="00C02EA7" w:rsidP="007965AB">
      <w:pPr>
        <w:ind w:left="-181"/>
        <w:rPr>
          <w:i/>
          <w:sz w:val="26"/>
          <w:szCs w:val="26"/>
          <w:lang w:val="uk-UA"/>
        </w:rPr>
      </w:pPr>
    </w:p>
    <w:p w:rsidR="00C02EA7" w:rsidRDefault="00C02EA7" w:rsidP="007965AB">
      <w:pPr>
        <w:ind w:left="-181"/>
        <w:rPr>
          <w:i/>
          <w:sz w:val="26"/>
          <w:szCs w:val="26"/>
          <w:lang w:val="uk-UA"/>
        </w:rPr>
      </w:pPr>
    </w:p>
    <w:p w:rsidR="00C843FE" w:rsidRDefault="00835FC3" w:rsidP="007965AB">
      <w:pPr>
        <w:ind w:left="-181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</w:t>
      </w:r>
      <w:r w:rsidR="0083585D">
        <w:rPr>
          <w:b/>
          <w:i/>
          <w:sz w:val="28"/>
          <w:szCs w:val="28"/>
          <w:lang w:val="uk-UA"/>
        </w:rPr>
        <w:t xml:space="preserve"> 13.01.2020 року</w:t>
      </w:r>
      <w:r w:rsidR="0070560C">
        <w:rPr>
          <w:b/>
          <w:i/>
          <w:sz w:val="28"/>
          <w:szCs w:val="28"/>
          <w:lang w:val="uk-UA"/>
        </w:rPr>
        <w:t xml:space="preserve">                                                                                 </w:t>
      </w:r>
      <w:r w:rsidR="00C843FE" w:rsidRPr="007965AB">
        <w:rPr>
          <w:b/>
          <w:i/>
          <w:sz w:val="28"/>
          <w:szCs w:val="28"/>
          <w:lang w:val="uk-UA"/>
        </w:rPr>
        <w:t>№</w:t>
      </w:r>
      <w:r w:rsidR="0083585D">
        <w:rPr>
          <w:b/>
          <w:i/>
          <w:sz w:val="28"/>
          <w:szCs w:val="28"/>
          <w:lang w:val="uk-UA"/>
        </w:rPr>
        <w:t xml:space="preserve"> 2</w:t>
      </w:r>
    </w:p>
    <w:p w:rsidR="00C843FE" w:rsidRDefault="00C843FE" w:rsidP="007965AB">
      <w:pPr>
        <w:ind w:left="-181"/>
        <w:rPr>
          <w:b/>
          <w:i/>
          <w:sz w:val="28"/>
          <w:szCs w:val="28"/>
          <w:lang w:val="uk-UA"/>
        </w:rPr>
      </w:pPr>
    </w:p>
    <w:p w:rsidR="00A4006C" w:rsidRDefault="00A4006C" w:rsidP="007965AB">
      <w:pPr>
        <w:ind w:left="-181"/>
        <w:rPr>
          <w:b/>
          <w:i/>
          <w:sz w:val="28"/>
          <w:szCs w:val="28"/>
          <w:lang w:val="uk-UA"/>
        </w:rPr>
      </w:pPr>
    </w:p>
    <w:p w:rsidR="00C02EA7" w:rsidRDefault="00C02EA7" w:rsidP="007965AB">
      <w:pPr>
        <w:ind w:left="-181"/>
        <w:rPr>
          <w:b/>
          <w:i/>
          <w:sz w:val="28"/>
          <w:szCs w:val="28"/>
          <w:lang w:val="uk-UA"/>
        </w:rPr>
      </w:pPr>
    </w:p>
    <w:p w:rsidR="00C843FE" w:rsidRDefault="00C843FE" w:rsidP="007965AB">
      <w:pPr>
        <w:ind w:left="-181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затвердження Програми</w:t>
      </w:r>
    </w:p>
    <w:p w:rsidR="00FC7B78" w:rsidRDefault="00C843FE" w:rsidP="007965AB">
      <w:pPr>
        <w:ind w:left="-181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управління </w:t>
      </w:r>
      <w:r w:rsidR="00FC7B78">
        <w:rPr>
          <w:b/>
          <w:i/>
          <w:sz w:val="28"/>
          <w:szCs w:val="28"/>
          <w:lang w:val="uk-UA"/>
        </w:rPr>
        <w:t>місцевим боргом</w:t>
      </w:r>
      <w:r>
        <w:rPr>
          <w:b/>
          <w:i/>
          <w:sz w:val="28"/>
          <w:szCs w:val="28"/>
          <w:lang w:val="uk-UA"/>
        </w:rPr>
        <w:t xml:space="preserve"> </w:t>
      </w:r>
    </w:p>
    <w:p w:rsidR="00992D73" w:rsidRDefault="00C843FE" w:rsidP="007965AB">
      <w:pPr>
        <w:ind w:left="-181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 20</w:t>
      </w:r>
      <w:r w:rsidR="00564E49">
        <w:rPr>
          <w:b/>
          <w:i/>
          <w:sz w:val="28"/>
          <w:szCs w:val="28"/>
          <w:lang w:val="uk-UA"/>
        </w:rPr>
        <w:t>20</w:t>
      </w:r>
      <w:r>
        <w:rPr>
          <w:b/>
          <w:i/>
          <w:sz w:val="28"/>
          <w:szCs w:val="28"/>
          <w:lang w:val="uk-UA"/>
        </w:rPr>
        <w:t xml:space="preserve"> рік</w:t>
      </w:r>
      <w:r w:rsidR="00992D73">
        <w:rPr>
          <w:b/>
          <w:i/>
          <w:sz w:val="28"/>
          <w:szCs w:val="28"/>
          <w:lang w:val="uk-UA"/>
        </w:rPr>
        <w:t xml:space="preserve"> та Звіту про виконання </w:t>
      </w:r>
    </w:p>
    <w:p w:rsidR="00A54BA2" w:rsidRDefault="00992D73" w:rsidP="00A54BA2">
      <w:pPr>
        <w:ind w:left="-181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Програми </w:t>
      </w:r>
      <w:r w:rsidR="00A54BA2">
        <w:rPr>
          <w:b/>
          <w:i/>
          <w:sz w:val="28"/>
          <w:szCs w:val="28"/>
          <w:lang w:val="uk-UA"/>
        </w:rPr>
        <w:t>управління місцевим</w:t>
      </w:r>
    </w:p>
    <w:p w:rsidR="00C843FE" w:rsidRDefault="00CD5FAE" w:rsidP="00A54BA2">
      <w:pPr>
        <w:ind w:left="-284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боргом з</w:t>
      </w:r>
      <w:r w:rsidR="00A54BA2">
        <w:rPr>
          <w:b/>
          <w:i/>
          <w:sz w:val="28"/>
          <w:szCs w:val="28"/>
          <w:lang w:val="uk-UA"/>
        </w:rPr>
        <w:t>а</w:t>
      </w:r>
      <w:r w:rsidR="00992D73">
        <w:rPr>
          <w:b/>
          <w:i/>
          <w:sz w:val="28"/>
          <w:szCs w:val="28"/>
          <w:lang w:val="uk-UA"/>
        </w:rPr>
        <w:t xml:space="preserve"> 2019 рік </w:t>
      </w:r>
    </w:p>
    <w:p w:rsidR="00C843FE" w:rsidRDefault="00C843FE" w:rsidP="007965AB">
      <w:pPr>
        <w:ind w:left="-181"/>
        <w:rPr>
          <w:sz w:val="28"/>
          <w:szCs w:val="28"/>
          <w:lang w:val="uk-UA"/>
        </w:rPr>
      </w:pPr>
    </w:p>
    <w:p w:rsidR="00C02EA7" w:rsidRDefault="00C02EA7" w:rsidP="007965AB">
      <w:pPr>
        <w:ind w:left="-181"/>
        <w:rPr>
          <w:sz w:val="28"/>
          <w:szCs w:val="28"/>
          <w:lang w:val="uk-UA"/>
        </w:rPr>
      </w:pPr>
    </w:p>
    <w:p w:rsidR="00C843FE" w:rsidRDefault="00E11CD1" w:rsidP="007965AB">
      <w:pPr>
        <w:ind w:left="-181" w:firstLine="8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F0E4A">
        <w:rPr>
          <w:sz w:val="28"/>
          <w:szCs w:val="28"/>
          <w:lang w:val="uk-UA"/>
        </w:rPr>
        <w:t>п</w:t>
      </w:r>
      <w:r w:rsidR="00C843FE">
        <w:rPr>
          <w:sz w:val="28"/>
          <w:szCs w:val="28"/>
          <w:lang w:val="uk-UA"/>
        </w:rPr>
        <w:t>останов</w:t>
      </w:r>
      <w:r w:rsidR="00992D73">
        <w:rPr>
          <w:sz w:val="28"/>
          <w:szCs w:val="28"/>
          <w:lang w:val="uk-UA"/>
        </w:rPr>
        <w:t>ою</w:t>
      </w:r>
      <w:r w:rsidR="00C843FE" w:rsidRPr="00C6276B">
        <w:rPr>
          <w:sz w:val="28"/>
          <w:szCs w:val="28"/>
          <w:lang w:val="uk-UA"/>
        </w:rPr>
        <w:t xml:space="preserve"> Кабінету Міністрів України від 01 серпня 2012 року №815 «Про затвердження Порядку здійснення контролю за ризиками, пов’язаними з управлінням  державним (місцевим) боргом»</w:t>
      </w:r>
      <w:r>
        <w:rPr>
          <w:sz w:val="28"/>
          <w:szCs w:val="28"/>
          <w:lang w:val="uk-UA"/>
        </w:rPr>
        <w:t>,</w:t>
      </w:r>
      <w:r w:rsidR="0050782F">
        <w:rPr>
          <w:sz w:val="28"/>
          <w:szCs w:val="28"/>
          <w:lang w:val="uk-UA"/>
        </w:rPr>
        <w:t xml:space="preserve"> </w:t>
      </w:r>
    </w:p>
    <w:p w:rsidR="00C843FE" w:rsidRDefault="00C843FE" w:rsidP="007965AB">
      <w:pPr>
        <w:ind w:left="-181" w:firstLine="889"/>
        <w:jc w:val="both"/>
        <w:rPr>
          <w:sz w:val="28"/>
          <w:szCs w:val="28"/>
          <w:lang w:val="uk-UA"/>
        </w:rPr>
      </w:pPr>
    </w:p>
    <w:p w:rsidR="00C02EA7" w:rsidRDefault="00C02EA7" w:rsidP="007965AB">
      <w:pPr>
        <w:ind w:left="-181" w:firstLine="889"/>
        <w:jc w:val="both"/>
        <w:rPr>
          <w:sz w:val="28"/>
          <w:szCs w:val="28"/>
          <w:lang w:val="uk-UA"/>
        </w:rPr>
      </w:pPr>
    </w:p>
    <w:p w:rsidR="00C843FE" w:rsidRDefault="00C843FE" w:rsidP="007965AB">
      <w:pPr>
        <w:ind w:left="-181" w:firstLine="889"/>
        <w:jc w:val="center"/>
        <w:rPr>
          <w:b/>
          <w:sz w:val="28"/>
          <w:szCs w:val="28"/>
          <w:lang w:val="uk-UA"/>
        </w:rPr>
      </w:pPr>
      <w:r w:rsidRPr="007965AB">
        <w:rPr>
          <w:b/>
          <w:sz w:val="28"/>
          <w:szCs w:val="28"/>
          <w:lang w:val="uk-UA"/>
        </w:rPr>
        <w:t>НАКАЗУЮ:</w:t>
      </w:r>
    </w:p>
    <w:p w:rsidR="00C02EA7" w:rsidRDefault="00C02EA7" w:rsidP="007965AB">
      <w:pPr>
        <w:ind w:left="-181" w:firstLine="889"/>
        <w:jc w:val="center"/>
        <w:rPr>
          <w:b/>
          <w:sz w:val="28"/>
          <w:szCs w:val="28"/>
          <w:lang w:val="uk-UA"/>
        </w:rPr>
      </w:pPr>
    </w:p>
    <w:p w:rsidR="00ED17BC" w:rsidRPr="00ED17BC" w:rsidRDefault="00C843FE" w:rsidP="00ED17BC">
      <w:pPr>
        <w:pStyle w:val="a5"/>
        <w:numPr>
          <w:ilvl w:val="0"/>
          <w:numId w:val="5"/>
        </w:numPr>
        <w:tabs>
          <w:tab w:val="left" w:pos="1134"/>
        </w:tabs>
        <w:ind w:left="-142" w:firstLine="801"/>
        <w:jc w:val="both"/>
        <w:rPr>
          <w:sz w:val="28"/>
          <w:szCs w:val="28"/>
          <w:lang w:val="uk-UA"/>
        </w:rPr>
      </w:pPr>
      <w:r w:rsidRPr="00ED17BC">
        <w:rPr>
          <w:sz w:val="28"/>
          <w:szCs w:val="28"/>
          <w:lang w:val="uk-UA"/>
        </w:rPr>
        <w:t>Затвердити Програму управління місцевим боргом на 20</w:t>
      </w:r>
      <w:r w:rsidR="00564E49" w:rsidRPr="00ED17BC">
        <w:rPr>
          <w:sz w:val="28"/>
          <w:szCs w:val="28"/>
          <w:lang w:val="uk-UA"/>
        </w:rPr>
        <w:t>20</w:t>
      </w:r>
      <w:r w:rsidRPr="00ED17BC">
        <w:rPr>
          <w:sz w:val="28"/>
          <w:szCs w:val="28"/>
          <w:lang w:val="uk-UA"/>
        </w:rPr>
        <w:t xml:space="preserve"> рік</w:t>
      </w:r>
      <w:r w:rsidR="00ED17BC" w:rsidRPr="00ED17BC">
        <w:rPr>
          <w:b/>
          <w:i/>
          <w:sz w:val="28"/>
          <w:szCs w:val="28"/>
          <w:lang w:val="uk-UA"/>
        </w:rPr>
        <w:t xml:space="preserve"> </w:t>
      </w:r>
      <w:r w:rsidR="00ED17BC" w:rsidRPr="00ED17BC">
        <w:rPr>
          <w:sz w:val="28"/>
          <w:szCs w:val="28"/>
          <w:lang w:val="uk-UA"/>
        </w:rPr>
        <w:t xml:space="preserve">та Звіт про виконання Програми управління місцевим боргом за 2019 рік (додатки 1,2). </w:t>
      </w:r>
    </w:p>
    <w:p w:rsidR="00144148" w:rsidRPr="00144148" w:rsidRDefault="00144148" w:rsidP="00144148">
      <w:pPr>
        <w:jc w:val="both"/>
        <w:rPr>
          <w:sz w:val="28"/>
          <w:szCs w:val="28"/>
          <w:lang w:val="uk-UA"/>
        </w:rPr>
      </w:pPr>
    </w:p>
    <w:p w:rsidR="00120AA7" w:rsidRDefault="00ED17BC" w:rsidP="005A3104">
      <w:pPr>
        <w:ind w:left="-181" w:firstLine="8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33098" w:rsidRPr="00463B72">
        <w:rPr>
          <w:sz w:val="28"/>
          <w:szCs w:val="28"/>
          <w:lang w:val="uk-UA"/>
        </w:rPr>
        <w:t xml:space="preserve"> </w:t>
      </w:r>
      <w:r w:rsidR="00FE6EEE" w:rsidRPr="00463B72">
        <w:rPr>
          <w:sz w:val="28"/>
          <w:szCs w:val="28"/>
          <w:lang w:val="uk-UA"/>
        </w:rPr>
        <w:t>З метою</w:t>
      </w:r>
      <w:r w:rsidR="00B33098" w:rsidRPr="00463B72">
        <w:rPr>
          <w:sz w:val="28"/>
          <w:szCs w:val="28"/>
          <w:lang w:val="uk-UA"/>
        </w:rPr>
        <w:t xml:space="preserve"> </w:t>
      </w:r>
      <w:r w:rsidR="009F0E4A">
        <w:rPr>
          <w:sz w:val="28"/>
          <w:szCs w:val="28"/>
          <w:lang w:val="uk-UA"/>
        </w:rPr>
        <w:t xml:space="preserve">здійснення контролю за ризиками, пов’язаними з управлінням </w:t>
      </w:r>
      <w:r w:rsidR="00FE6EEE" w:rsidRPr="00463B72">
        <w:rPr>
          <w:sz w:val="28"/>
          <w:szCs w:val="28"/>
          <w:lang w:val="uk-UA"/>
        </w:rPr>
        <w:t>місцевим боргом</w:t>
      </w:r>
      <w:r w:rsidR="007B2A2C">
        <w:rPr>
          <w:sz w:val="28"/>
          <w:szCs w:val="28"/>
          <w:lang w:val="uk-UA"/>
        </w:rPr>
        <w:t>,</w:t>
      </w:r>
      <w:r w:rsidR="00C02EA7">
        <w:rPr>
          <w:sz w:val="28"/>
          <w:szCs w:val="28"/>
          <w:lang w:val="uk-UA"/>
        </w:rPr>
        <w:t xml:space="preserve"> завідувачу сектором залучення кредитних ресурсів та моніторингу розрахунків за енергоносії управління виробничої сфери департаменту фінансів виконкому Криворізької міської ради</w:t>
      </w:r>
      <w:r w:rsidR="005A484D">
        <w:rPr>
          <w:sz w:val="28"/>
          <w:szCs w:val="28"/>
          <w:lang w:val="uk-UA"/>
        </w:rPr>
        <w:t xml:space="preserve"> (Олені Марцинюк)</w:t>
      </w:r>
      <w:r w:rsidR="00C02EA7" w:rsidRPr="00463B72">
        <w:rPr>
          <w:sz w:val="28"/>
          <w:szCs w:val="28"/>
          <w:lang w:val="uk-UA"/>
        </w:rPr>
        <w:t xml:space="preserve"> </w:t>
      </w:r>
      <w:r w:rsidR="00FE6EEE" w:rsidRPr="00463B72">
        <w:rPr>
          <w:sz w:val="28"/>
          <w:szCs w:val="28"/>
          <w:lang w:val="uk-UA"/>
        </w:rPr>
        <w:t>забезпечити:</w:t>
      </w:r>
    </w:p>
    <w:p w:rsidR="007B2A2C" w:rsidRDefault="00ED17BC" w:rsidP="00C02E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92D73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 </w:t>
      </w:r>
      <w:r w:rsidR="007B2A2C">
        <w:rPr>
          <w:sz w:val="28"/>
          <w:szCs w:val="28"/>
          <w:lang w:val="uk-UA"/>
        </w:rPr>
        <w:t xml:space="preserve"> контроль за виконанням цієї програми;</w:t>
      </w:r>
    </w:p>
    <w:p w:rsidR="009F0E4A" w:rsidRDefault="00ED17BC" w:rsidP="00C02E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92D73">
        <w:rPr>
          <w:sz w:val="28"/>
          <w:szCs w:val="28"/>
          <w:lang w:val="uk-UA"/>
        </w:rPr>
        <w:t>.2</w:t>
      </w:r>
      <w:r w:rsidR="009F0E4A">
        <w:rPr>
          <w:sz w:val="28"/>
          <w:szCs w:val="28"/>
          <w:lang w:val="uk-UA"/>
        </w:rPr>
        <w:t xml:space="preserve"> своєчасне та у повному обсязі виконання зобов’язань за місцевим боргом</w:t>
      </w:r>
      <w:r w:rsidR="009C1468">
        <w:rPr>
          <w:sz w:val="28"/>
          <w:szCs w:val="28"/>
          <w:lang w:val="uk-UA"/>
        </w:rPr>
        <w:t>;</w:t>
      </w:r>
    </w:p>
    <w:p w:rsidR="009C1468" w:rsidRDefault="00ED17BC" w:rsidP="00C02E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92D73">
        <w:rPr>
          <w:sz w:val="28"/>
          <w:szCs w:val="28"/>
          <w:lang w:val="uk-UA"/>
        </w:rPr>
        <w:t>.3</w:t>
      </w:r>
      <w:r w:rsidR="009F0E4A">
        <w:rPr>
          <w:sz w:val="28"/>
          <w:szCs w:val="28"/>
          <w:lang w:val="uk-UA"/>
        </w:rPr>
        <w:t xml:space="preserve"> </w:t>
      </w:r>
      <w:r w:rsidR="009C1468">
        <w:rPr>
          <w:sz w:val="28"/>
          <w:szCs w:val="28"/>
          <w:lang w:val="uk-UA"/>
        </w:rPr>
        <w:t>прозорість</w:t>
      </w:r>
      <w:r w:rsidR="009F0E4A">
        <w:rPr>
          <w:sz w:val="28"/>
          <w:szCs w:val="28"/>
          <w:lang w:val="uk-UA"/>
        </w:rPr>
        <w:t xml:space="preserve"> діяльності, </w:t>
      </w:r>
      <w:r w:rsidR="007B2A2C">
        <w:rPr>
          <w:sz w:val="28"/>
          <w:szCs w:val="28"/>
          <w:lang w:val="uk-UA"/>
        </w:rPr>
        <w:t>пов’язаної</w:t>
      </w:r>
      <w:r w:rsidR="009F0E4A">
        <w:rPr>
          <w:sz w:val="28"/>
          <w:szCs w:val="28"/>
          <w:lang w:val="uk-UA"/>
        </w:rPr>
        <w:t xml:space="preserve"> з управлі</w:t>
      </w:r>
      <w:r w:rsidR="003039CF">
        <w:rPr>
          <w:sz w:val="28"/>
          <w:szCs w:val="28"/>
          <w:lang w:val="uk-UA"/>
        </w:rPr>
        <w:t>нням місцевим боргом та публічність</w:t>
      </w:r>
      <w:r w:rsidR="009F0E4A">
        <w:rPr>
          <w:sz w:val="28"/>
          <w:szCs w:val="28"/>
          <w:lang w:val="uk-UA"/>
        </w:rPr>
        <w:t xml:space="preserve"> відповідної інформації, в тому числі шляхом оприлюднення Програми управління міс</w:t>
      </w:r>
      <w:r w:rsidR="00992D73">
        <w:rPr>
          <w:sz w:val="28"/>
          <w:szCs w:val="28"/>
          <w:lang w:val="uk-UA"/>
        </w:rPr>
        <w:t>цевим</w:t>
      </w:r>
      <w:r w:rsidR="009F0E4A">
        <w:rPr>
          <w:sz w:val="28"/>
          <w:szCs w:val="28"/>
          <w:lang w:val="uk-UA"/>
        </w:rPr>
        <w:t xml:space="preserve"> боргом та звіту про її виконання, в порядку, передбаченому законодавством</w:t>
      </w:r>
      <w:r w:rsidR="00992D73">
        <w:rPr>
          <w:sz w:val="28"/>
          <w:szCs w:val="28"/>
          <w:lang w:val="uk-UA"/>
        </w:rPr>
        <w:t>.</w:t>
      </w:r>
    </w:p>
    <w:p w:rsidR="00992D73" w:rsidRDefault="00992D73" w:rsidP="00C02EA7">
      <w:pPr>
        <w:ind w:firstLine="709"/>
        <w:jc w:val="both"/>
        <w:rPr>
          <w:sz w:val="28"/>
          <w:szCs w:val="28"/>
          <w:lang w:val="uk-UA"/>
        </w:rPr>
      </w:pPr>
    </w:p>
    <w:p w:rsidR="00992D73" w:rsidRDefault="00992D73" w:rsidP="00992D73">
      <w:pPr>
        <w:ind w:hanging="142"/>
        <w:jc w:val="both"/>
        <w:rPr>
          <w:sz w:val="28"/>
          <w:szCs w:val="28"/>
          <w:lang w:val="uk-UA"/>
        </w:rPr>
      </w:pPr>
    </w:p>
    <w:p w:rsidR="00C843FE" w:rsidRPr="007B2A2C" w:rsidRDefault="00564E49" w:rsidP="005A3104">
      <w:pPr>
        <w:ind w:left="-181" w:firstLine="88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843FE" w:rsidRPr="007B2A2C">
        <w:rPr>
          <w:sz w:val="28"/>
          <w:szCs w:val="28"/>
          <w:lang w:val="uk-UA"/>
        </w:rPr>
        <w:t xml:space="preserve">. Контроль за виконанням цього наказу покласти </w:t>
      </w:r>
      <w:r w:rsidR="00C02EA7">
        <w:rPr>
          <w:sz w:val="28"/>
          <w:szCs w:val="28"/>
          <w:lang w:val="uk-UA"/>
        </w:rPr>
        <w:t>на заступника</w:t>
      </w:r>
      <w:r w:rsidR="00AA21E3" w:rsidRPr="007B2A2C">
        <w:rPr>
          <w:sz w:val="28"/>
          <w:szCs w:val="28"/>
          <w:lang w:val="uk-UA"/>
        </w:rPr>
        <w:t xml:space="preserve"> директора департаменту </w:t>
      </w:r>
      <w:r w:rsidR="009C1468" w:rsidRPr="007B2A2C">
        <w:rPr>
          <w:sz w:val="28"/>
          <w:szCs w:val="28"/>
          <w:lang w:val="uk-UA"/>
        </w:rPr>
        <w:t>згідно з</w:t>
      </w:r>
      <w:r w:rsidR="00AA21E3" w:rsidRPr="007B2A2C">
        <w:rPr>
          <w:sz w:val="28"/>
          <w:szCs w:val="28"/>
          <w:lang w:val="uk-UA"/>
        </w:rPr>
        <w:t xml:space="preserve"> розподілом обов’язків.</w:t>
      </w:r>
    </w:p>
    <w:p w:rsidR="00C02EA7" w:rsidRDefault="00C02EA7" w:rsidP="002F220A">
      <w:pPr>
        <w:pStyle w:val="2"/>
        <w:rPr>
          <w:rFonts w:ascii="Times New Roman" w:hAnsi="Times New Roman"/>
          <w:b/>
          <w:sz w:val="28"/>
          <w:szCs w:val="28"/>
        </w:rPr>
      </w:pPr>
    </w:p>
    <w:p w:rsidR="00C02EA7" w:rsidRDefault="00C02EA7" w:rsidP="00C02EA7">
      <w:pPr>
        <w:rPr>
          <w:lang w:val="uk-UA"/>
        </w:rPr>
      </w:pPr>
    </w:p>
    <w:p w:rsidR="00144148" w:rsidRDefault="00144148" w:rsidP="00C02EA7">
      <w:pPr>
        <w:rPr>
          <w:lang w:val="uk-UA"/>
        </w:rPr>
      </w:pPr>
    </w:p>
    <w:p w:rsidR="00C02EA7" w:rsidRDefault="00C02EA7" w:rsidP="00C02EA7">
      <w:pPr>
        <w:rPr>
          <w:lang w:val="uk-UA"/>
        </w:rPr>
      </w:pPr>
    </w:p>
    <w:p w:rsidR="00C02EA7" w:rsidRDefault="00C02EA7" w:rsidP="00C02EA7">
      <w:pPr>
        <w:rPr>
          <w:lang w:val="uk-UA"/>
        </w:rPr>
      </w:pPr>
    </w:p>
    <w:p w:rsidR="00C843FE" w:rsidRPr="00665C13" w:rsidRDefault="00144148" w:rsidP="002F220A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843FE">
        <w:rPr>
          <w:rFonts w:ascii="Times New Roman" w:hAnsi="Times New Roman"/>
          <w:b/>
          <w:sz w:val="28"/>
          <w:szCs w:val="28"/>
        </w:rPr>
        <w:t>Директор</w:t>
      </w:r>
    </w:p>
    <w:p w:rsidR="0070560C" w:rsidRDefault="00C843FE" w:rsidP="002F220A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департаменту фінансів</w:t>
      </w:r>
    </w:p>
    <w:p w:rsidR="00C843FE" w:rsidRPr="00665C13" w:rsidRDefault="0070560C" w:rsidP="002F220A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виконкому Криворізької ради</w:t>
      </w:r>
      <w:r w:rsidR="00C843FE" w:rsidRPr="00665C13">
        <w:rPr>
          <w:rFonts w:ascii="Times New Roman" w:hAnsi="Times New Roman"/>
          <w:b/>
        </w:rPr>
        <w:tab/>
      </w:r>
      <w:r w:rsidR="00C843FE" w:rsidRPr="00665C13">
        <w:rPr>
          <w:rFonts w:ascii="Times New Roman" w:hAnsi="Times New Roman"/>
          <w:b/>
        </w:rPr>
        <w:tab/>
      </w:r>
      <w:r w:rsidR="00C843FE" w:rsidRPr="00665C13">
        <w:rPr>
          <w:rFonts w:ascii="Times New Roman" w:hAnsi="Times New Roman"/>
          <w:b/>
        </w:rPr>
        <w:tab/>
      </w:r>
      <w:r w:rsidR="00C843FE" w:rsidRPr="00665C13">
        <w:rPr>
          <w:rFonts w:ascii="Times New Roman" w:hAnsi="Times New Roman"/>
          <w:b/>
        </w:rPr>
        <w:tab/>
      </w:r>
      <w:r w:rsidR="00C843FE">
        <w:rPr>
          <w:rFonts w:ascii="Times New Roman" w:hAnsi="Times New Roman"/>
          <w:b/>
        </w:rPr>
        <w:t xml:space="preserve">                       </w:t>
      </w:r>
      <w:r w:rsidR="00991AC0">
        <w:rPr>
          <w:rFonts w:ascii="Times New Roman" w:hAnsi="Times New Roman"/>
          <w:b/>
          <w:sz w:val="28"/>
          <w:szCs w:val="28"/>
        </w:rPr>
        <w:t xml:space="preserve">Олена </w:t>
      </w:r>
      <w:r w:rsidR="00C843FE">
        <w:rPr>
          <w:rFonts w:ascii="Times New Roman" w:hAnsi="Times New Roman"/>
          <w:b/>
          <w:sz w:val="28"/>
          <w:szCs w:val="28"/>
        </w:rPr>
        <w:t xml:space="preserve"> Рожко </w:t>
      </w:r>
    </w:p>
    <w:p w:rsidR="007D4A7A" w:rsidRDefault="007D4A7A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</w:p>
    <w:p w:rsidR="002A16FF" w:rsidRDefault="002A16FF" w:rsidP="00503051">
      <w:pPr>
        <w:rPr>
          <w:b/>
          <w:lang w:val="uk-UA"/>
        </w:rPr>
      </w:pPr>
      <w:r>
        <w:rPr>
          <w:b/>
          <w:lang w:val="uk-UA"/>
        </w:rPr>
        <w:t>ПОГОДЖЕНО</w:t>
      </w:r>
    </w:p>
    <w:p w:rsidR="002A16FF" w:rsidRDefault="002A16FF" w:rsidP="00503051">
      <w:pPr>
        <w:rPr>
          <w:b/>
          <w:lang w:val="uk-UA"/>
        </w:rPr>
      </w:pPr>
    </w:p>
    <w:p w:rsidR="002A16FF" w:rsidRPr="00800DD5" w:rsidRDefault="002A16FF" w:rsidP="002A16FF">
      <w:pPr>
        <w:ind w:right="253"/>
        <w:jc w:val="both"/>
        <w:rPr>
          <w:b/>
          <w:bCs/>
          <w:i/>
          <w:sz w:val="28"/>
          <w:szCs w:val="28"/>
        </w:rPr>
      </w:pPr>
      <w:r w:rsidRPr="00800DD5">
        <w:rPr>
          <w:b/>
          <w:bCs/>
          <w:i/>
          <w:sz w:val="28"/>
          <w:szCs w:val="28"/>
        </w:rPr>
        <w:t xml:space="preserve">Заступник </w:t>
      </w:r>
      <w:proofErr w:type="spellStart"/>
      <w:r w:rsidRPr="00800DD5">
        <w:rPr>
          <w:b/>
          <w:bCs/>
          <w:i/>
          <w:sz w:val="28"/>
          <w:szCs w:val="28"/>
        </w:rPr>
        <w:t>міського</w:t>
      </w:r>
      <w:proofErr w:type="spellEnd"/>
      <w:r w:rsidRPr="00800DD5">
        <w:rPr>
          <w:b/>
          <w:bCs/>
          <w:i/>
          <w:sz w:val="28"/>
          <w:szCs w:val="28"/>
        </w:rPr>
        <w:t xml:space="preserve"> </w:t>
      </w:r>
      <w:proofErr w:type="spellStart"/>
      <w:r w:rsidRPr="00800DD5">
        <w:rPr>
          <w:b/>
          <w:bCs/>
          <w:i/>
          <w:sz w:val="28"/>
          <w:szCs w:val="28"/>
        </w:rPr>
        <w:t>голови</w:t>
      </w:r>
      <w:proofErr w:type="spellEnd"/>
      <w:r w:rsidRPr="00800DD5">
        <w:rPr>
          <w:b/>
          <w:bCs/>
          <w:i/>
          <w:sz w:val="28"/>
          <w:szCs w:val="28"/>
        </w:rPr>
        <w:tab/>
      </w:r>
      <w:r w:rsidRPr="00800DD5">
        <w:rPr>
          <w:b/>
          <w:bCs/>
          <w:i/>
          <w:sz w:val="28"/>
          <w:szCs w:val="28"/>
        </w:rPr>
        <w:tab/>
      </w:r>
      <w:r w:rsidRPr="00800DD5">
        <w:rPr>
          <w:b/>
          <w:bCs/>
          <w:i/>
          <w:sz w:val="28"/>
          <w:szCs w:val="28"/>
        </w:rPr>
        <w:tab/>
      </w:r>
      <w:r w:rsidRPr="00800DD5">
        <w:rPr>
          <w:b/>
          <w:bCs/>
          <w:i/>
          <w:sz w:val="28"/>
          <w:szCs w:val="28"/>
        </w:rPr>
        <w:tab/>
      </w:r>
      <w:r w:rsidRPr="00800DD5">
        <w:rPr>
          <w:b/>
          <w:bCs/>
          <w:i/>
          <w:sz w:val="28"/>
          <w:szCs w:val="28"/>
        </w:rPr>
        <w:tab/>
      </w:r>
      <w:r w:rsidRPr="00800DD5">
        <w:rPr>
          <w:b/>
          <w:bCs/>
          <w:i/>
          <w:sz w:val="28"/>
          <w:szCs w:val="28"/>
        </w:rPr>
        <w:tab/>
      </w:r>
    </w:p>
    <w:p w:rsidR="002A16FF" w:rsidRPr="00800DD5" w:rsidRDefault="002A16FF" w:rsidP="002A16FF">
      <w:pPr>
        <w:spacing w:line="360" w:lineRule="auto"/>
        <w:ind w:right="253"/>
        <w:jc w:val="both"/>
        <w:rPr>
          <w:b/>
          <w:bCs/>
          <w:i/>
          <w:iCs/>
          <w:sz w:val="28"/>
          <w:szCs w:val="28"/>
        </w:rPr>
      </w:pPr>
      <w:r w:rsidRPr="00800DD5">
        <w:rPr>
          <w:b/>
          <w:bCs/>
          <w:i/>
          <w:sz w:val="28"/>
          <w:szCs w:val="28"/>
        </w:rPr>
        <w:t>_________________</w:t>
      </w:r>
      <w:r w:rsidR="00C02EA7">
        <w:rPr>
          <w:b/>
          <w:bCs/>
          <w:i/>
          <w:sz w:val="28"/>
          <w:szCs w:val="28"/>
          <w:lang w:val="uk-UA"/>
        </w:rPr>
        <w:t>Андрій</w:t>
      </w:r>
      <w:r w:rsidR="00564E49">
        <w:rPr>
          <w:b/>
          <w:bCs/>
          <w:i/>
          <w:sz w:val="28"/>
          <w:szCs w:val="28"/>
          <w:lang w:val="uk-UA"/>
        </w:rPr>
        <w:t xml:space="preserve"> </w:t>
      </w:r>
      <w:r w:rsidR="00C02EA7">
        <w:rPr>
          <w:b/>
          <w:bCs/>
          <w:i/>
          <w:sz w:val="28"/>
          <w:szCs w:val="28"/>
          <w:lang w:val="uk-UA"/>
        </w:rPr>
        <w:t>Полтавець</w:t>
      </w:r>
      <w:r w:rsidRPr="00800DD5">
        <w:rPr>
          <w:b/>
          <w:i/>
          <w:sz w:val="28"/>
          <w:szCs w:val="28"/>
        </w:rPr>
        <w:t xml:space="preserve"> </w:t>
      </w:r>
      <w:r w:rsidRPr="00800DD5">
        <w:rPr>
          <w:b/>
          <w:bCs/>
          <w:i/>
          <w:iCs/>
          <w:sz w:val="28"/>
          <w:szCs w:val="28"/>
        </w:rPr>
        <w:t xml:space="preserve"> </w:t>
      </w:r>
    </w:p>
    <w:p w:rsidR="002A16FF" w:rsidRPr="00800DD5" w:rsidRDefault="002A16FF" w:rsidP="002A16FF">
      <w:pPr>
        <w:spacing w:line="360" w:lineRule="auto"/>
        <w:ind w:right="253"/>
        <w:jc w:val="both"/>
        <w:rPr>
          <w:b/>
          <w:bCs/>
          <w:i/>
          <w:iCs/>
          <w:sz w:val="28"/>
          <w:szCs w:val="28"/>
        </w:rPr>
      </w:pPr>
      <w:r w:rsidRPr="00800DD5">
        <w:rPr>
          <w:b/>
          <w:bCs/>
          <w:i/>
          <w:iCs/>
          <w:sz w:val="28"/>
          <w:szCs w:val="28"/>
        </w:rPr>
        <w:t>«</w:t>
      </w:r>
      <w:r w:rsidR="00C518B4">
        <w:rPr>
          <w:b/>
          <w:bCs/>
          <w:i/>
          <w:iCs/>
          <w:sz w:val="28"/>
          <w:szCs w:val="28"/>
        </w:rPr>
        <w:t>13</w:t>
      </w:r>
      <w:r w:rsidRPr="00800DD5">
        <w:rPr>
          <w:b/>
          <w:bCs/>
          <w:i/>
          <w:iCs/>
          <w:sz w:val="28"/>
          <w:szCs w:val="28"/>
        </w:rPr>
        <w:t>»</w:t>
      </w:r>
      <w:r w:rsidR="00C518B4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C518B4">
        <w:rPr>
          <w:b/>
          <w:bCs/>
          <w:i/>
          <w:iCs/>
          <w:sz w:val="28"/>
          <w:szCs w:val="28"/>
        </w:rPr>
        <w:t>с</w:t>
      </w:r>
      <w:r w:rsidR="00C518B4">
        <w:rPr>
          <w:b/>
          <w:bCs/>
          <w:i/>
          <w:iCs/>
          <w:sz w:val="28"/>
          <w:szCs w:val="28"/>
          <w:lang w:val="uk-UA"/>
        </w:rPr>
        <w:t>і</w:t>
      </w:r>
      <w:proofErr w:type="spellStart"/>
      <w:r w:rsidR="00C518B4">
        <w:rPr>
          <w:b/>
          <w:bCs/>
          <w:i/>
          <w:iCs/>
          <w:sz w:val="28"/>
          <w:szCs w:val="28"/>
        </w:rPr>
        <w:t>чня</w:t>
      </w:r>
      <w:proofErr w:type="spellEnd"/>
      <w:r w:rsidR="00C518B4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00DD5">
        <w:rPr>
          <w:b/>
          <w:bCs/>
          <w:i/>
          <w:iCs/>
          <w:sz w:val="28"/>
          <w:szCs w:val="28"/>
        </w:rPr>
        <w:t>20</w:t>
      </w:r>
      <w:r w:rsidR="00C518B4">
        <w:rPr>
          <w:b/>
          <w:bCs/>
          <w:i/>
          <w:iCs/>
          <w:sz w:val="28"/>
          <w:szCs w:val="28"/>
          <w:lang w:val="uk-UA"/>
        </w:rPr>
        <w:t>20</w:t>
      </w:r>
      <w:r w:rsidR="00144148">
        <w:rPr>
          <w:b/>
          <w:bCs/>
          <w:i/>
          <w:iCs/>
          <w:sz w:val="28"/>
          <w:szCs w:val="28"/>
          <w:lang w:val="uk-UA"/>
        </w:rPr>
        <w:t xml:space="preserve">  </w:t>
      </w:r>
      <w:r w:rsidRPr="00800DD5">
        <w:rPr>
          <w:b/>
          <w:bCs/>
          <w:i/>
          <w:iCs/>
          <w:sz w:val="28"/>
          <w:szCs w:val="28"/>
        </w:rPr>
        <w:t xml:space="preserve"> року</w:t>
      </w: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2A16FF" w:rsidRDefault="002A16FF" w:rsidP="002A16FF">
      <w:pPr>
        <w:rPr>
          <w:bCs/>
          <w:i/>
          <w:iCs/>
          <w:sz w:val="19"/>
          <w:szCs w:val="19"/>
          <w:lang w:val="uk-UA"/>
        </w:rPr>
      </w:pPr>
    </w:p>
    <w:p w:rsidR="00144148" w:rsidRDefault="00144148" w:rsidP="002A16FF">
      <w:pPr>
        <w:rPr>
          <w:bCs/>
          <w:i/>
          <w:iCs/>
          <w:sz w:val="19"/>
          <w:szCs w:val="19"/>
          <w:lang w:val="uk-UA"/>
        </w:rPr>
      </w:pPr>
    </w:p>
    <w:p w:rsidR="00144148" w:rsidRDefault="00144148" w:rsidP="002A16FF">
      <w:pPr>
        <w:rPr>
          <w:bCs/>
          <w:i/>
          <w:iCs/>
          <w:sz w:val="19"/>
          <w:szCs w:val="19"/>
          <w:lang w:val="uk-UA"/>
        </w:rPr>
      </w:pPr>
    </w:p>
    <w:p w:rsidR="00C02EA7" w:rsidRDefault="00C02EA7" w:rsidP="002A16FF">
      <w:pPr>
        <w:rPr>
          <w:bCs/>
          <w:i/>
          <w:iCs/>
          <w:sz w:val="19"/>
          <w:szCs w:val="19"/>
          <w:lang w:val="uk-UA"/>
        </w:rPr>
      </w:pPr>
    </w:p>
    <w:p w:rsidR="00C02EA7" w:rsidRDefault="00C02EA7" w:rsidP="002A16FF">
      <w:pPr>
        <w:rPr>
          <w:bCs/>
          <w:i/>
          <w:iCs/>
          <w:sz w:val="19"/>
          <w:szCs w:val="19"/>
          <w:lang w:val="uk-UA"/>
        </w:rPr>
      </w:pPr>
    </w:p>
    <w:p w:rsidR="00C55D5B" w:rsidRDefault="00C55D5B" w:rsidP="002A16FF">
      <w:pPr>
        <w:rPr>
          <w:bCs/>
          <w:i/>
          <w:iCs/>
          <w:sz w:val="19"/>
          <w:szCs w:val="19"/>
          <w:lang w:val="uk-UA"/>
        </w:rPr>
      </w:pPr>
    </w:p>
    <w:p w:rsidR="00C55D5B" w:rsidRDefault="00C55D5B" w:rsidP="002A16FF">
      <w:pPr>
        <w:rPr>
          <w:bCs/>
          <w:i/>
          <w:iCs/>
          <w:sz w:val="19"/>
          <w:szCs w:val="19"/>
          <w:lang w:val="uk-UA"/>
        </w:rPr>
      </w:pPr>
    </w:p>
    <w:p w:rsidR="00C02EA7" w:rsidRDefault="00C02EA7" w:rsidP="002A16FF">
      <w:pPr>
        <w:rPr>
          <w:bCs/>
          <w:i/>
          <w:iCs/>
          <w:sz w:val="19"/>
          <w:szCs w:val="19"/>
          <w:lang w:val="uk-UA"/>
        </w:rPr>
      </w:pPr>
    </w:p>
    <w:p w:rsidR="00C02EA7" w:rsidRDefault="00E826BE" w:rsidP="002A16FF">
      <w:pPr>
        <w:rPr>
          <w:bCs/>
          <w:i/>
          <w:iCs/>
          <w:sz w:val="19"/>
          <w:szCs w:val="19"/>
          <w:lang w:val="uk-UA"/>
        </w:rPr>
      </w:pPr>
      <w:r>
        <w:rPr>
          <w:bCs/>
          <w:i/>
          <w:iCs/>
          <w:sz w:val="19"/>
          <w:szCs w:val="19"/>
          <w:lang w:val="uk-UA"/>
        </w:rPr>
        <w:t>Алла Осіюк</w:t>
      </w:r>
    </w:p>
    <w:p w:rsidR="00E826BE" w:rsidRDefault="00E826BE" w:rsidP="002A16FF">
      <w:pPr>
        <w:rPr>
          <w:bCs/>
          <w:i/>
          <w:iCs/>
          <w:sz w:val="19"/>
          <w:szCs w:val="19"/>
          <w:lang w:val="uk-UA"/>
        </w:rPr>
      </w:pPr>
      <w:r>
        <w:rPr>
          <w:bCs/>
          <w:i/>
          <w:iCs/>
          <w:sz w:val="19"/>
          <w:szCs w:val="19"/>
          <w:lang w:val="uk-UA"/>
        </w:rPr>
        <w:t>493 07 82, 97 81</w:t>
      </w:r>
    </w:p>
    <w:p w:rsidR="00B06FDE" w:rsidRDefault="00B06FDE" w:rsidP="002A16FF">
      <w:pPr>
        <w:rPr>
          <w:bCs/>
          <w:i/>
          <w:iCs/>
          <w:sz w:val="19"/>
          <w:szCs w:val="19"/>
          <w:lang w:val="uk-UA"/>
        </w:rPr>
      </w:pPr>
    </w:p>
    <w:p w:rsidR="00B06FDE" w:rsidRDefault="00B06FDE" w:rsidP="002A16FF">
      <w:pPr>
        <w:rPr>
          <w:bCs/>
          <w:i/>
          <w:iCs/>
          <w:sz w:val="19"/>
          <w:szCs w:val="19"/>
          <w:lang w:val="uk-UA"/>
        </w:rPr>
      </w:pPr>
    </w:p>
    <w:p w:rsidR="00B06FDE" w:rsidRDefault="00B06FDE" w:rsidP="00B06FDE">
      <w:pPr>
        <w:shd w:val="clear" w:color="auto" w:fill="FFFFFF"/>
        <w:tabs>
          <w:tab w:val="left" w:pos="6096"/>
          <w:tab w:val="left" w:pos="7088"/>
        </w:tabs>
        <w:spacing w:line="360" w:lineRule="auto"/>
        <w:ind w:right="57"/>
        <w:rPr>
          <w:i/>
          <w:iCs/>
          <w:spacing w:val="7"/>
          <w:sz w:val="28"/>
          <w:szCs w:val="28"/>
          <w:lang w:val="uk-UA"/>
        </w:rPr>
      </w:pPr>
      <w:r>
        <w:rPr>
          <w:i/>
          <w:iCs/>
          <w:spacing w:val="7"/>
          <w:sz w:val="28"/>
          <w:szCs w:val="28"/>
          <w:lang w:val="uk-UA"/>
        </w:rPr>
        <w:lastRenderedPageBreak/>
        <w:t>Додаток 1 до наказу</w:t>
      </w:r>
    </w:p>
    <w:p w:rsidR="00B06FDE" w:rsidRDefault="00B06FDE" w:rsidP="00B06FDE">
      <w:pPr>
        <w:shd w:val="clear" w:color="auto" w:fill="FFFFFF"/>
        <w:ind w:left="4963" w:right="57" w:firstLine="709"/>
        <w:rPr>
          <w:i/>
          <w:iCs/>
          <w:spacing w:val="7"/>
          <w:sz w:val="28"/>
          <w:szCs w:val="28"/>
          <w:lang w:val="uk-UA"/>
        </w:rPr>
      </w:pPr>
      <w:r>
        <w:rPr>
          <w:i/>
          <w:iCs/>
          <w:spacing w:val="7"/>
          <w:sz w:val="28"/>
          <w:szCs w:val="28"/>
          <w:lang w:val="uk-UA"/>
        </w:rPr>
        <w:t>від 13.01.2020 року  №2</w:t>
      </w: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Програма управління місцевим боргом на 2020 рік </w:t>
      </w: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1. Загальні положення</w:t>
      </w:r>
    </w:p>
    <w:p w:rsidR="00B06FDE" w:rsidRDefault="00B06FDE" w:rsidP="00B06FDE">
      <w:pPr>
        <w:ind w:firstLine="567"/>
        <w:jc w:val="center"/>
        <w:rPr>
          <w:sz w:val="28"/>
          <w:szCs w:val="28"/>
          <w:lang w:val="uk-UA"/>
        </w:rPr>
      </w:pP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Програму підготовлено відповідно до Порядку здійснення контролю за ризиками, пов’язаними з управлінням державним (місцевим) боргом, затвердженого постановою Кабінету Міністрів України від 01 серпня 2012 року №815. 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своєчасне і повне виконання зобов’язань з обслуговування та погашення місцевого боргу та попередження можливих ризиків.</w:t>
      </w:r>
    </w:p>
    <w:p w:rsidR="00B06FDE" w:rsidRDefault="00B06FDE" w:rsidP="00B06FDE">
      <w:pPr>
        <w:spacing w:before="12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за звітний бюджетний період буде сформовано та оприлюднено до 01.04.2021 року.</w:t>
      </w: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 Показники міського бюджету на 2020 рік в частині місцевого боргу</w:t>
      </w:r>
    </w:p>
    <w:p w:rsidR="00B06FDE" w:rsidRDefault="00B06FDE" w:rsidP="00B06FDE">
      <w:pPr>
        <w:ind w:firstLine="567"/>
        <w:jc w:val="center"/>
        <w:rPr>
          <w:b/>
          <w:sz w:val="28"/>
          <w:szCs w:val="28"/>
          <w:lang w:val="uk-UA"/>
        </w:rPr>
      </w:pP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Криворізької міської ради від 24.12.2019 №4310 «Про міський бюджет на 2020 рік» визначено: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граничний обсяг місцевого боргу станом на 31.12.2020 - 2204,0 млн грн, відповідно до ст.18 Бюджетного кодексу України;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Станом на 31.12.2020 плановий обсяг місцевого боргу очікується у сумі 8,7 млн грн, який може змінюватись у разі зміни графіків отримання позики.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обсяг платежів з обслуговування місцевого боргу - 0,03 млн грн, відповідно до ст.16 Бюджетного кодексу України.</w:t>
      </w:r>
    </w:p>
    <w:p w:rsidR="00B06FDE" w:rsidRDefault="00B06FDE" w:rsidP="00B06FDE">
      <w:pPr>
        <w:tabs>
          <w:tab w:val="left" w:pos="900"/>
        </w:tabs>
        <w:jc w:val="both"/>
        <w:textAlignment w:val="baseline"/>
        <w:rPr>
          <w:sz w:val="28"/>
          <w:szCs w:val="28"/>
          <w:lang w:val="uk-UA"/>
        </w:rPr>
      </w:pPr>
      <w:r>
        <w:rPr>
          <w:rFonts w:cs="Arial"/>
          <w:sz w:val="28"/>
          <w:szCs w:val="27"/>
          <w:lang w:val="uk-UA"/>
        </w:rPr>
        <w:tab/>
      </w:r>
      <w:r>
        <w:rPr>
          <w:sz w:val="28"/>
          <w:szCs w:val="28"/>
          <w:lang w:val="uk-UA"/>
        </w:rPr>
        <w:t>Витрати на обслуговування місцевого боргу заплановані відповідно до:</w:t>
      </w:r>
    </w:p>
    <w:p w:rsidR="00B06FDE" w:rsidRDefault="00B06FDE" w:rsidP="00B06FDE">
      <w:pPr>
        <w:ind w:firstLine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угоди про передачу коштів позики від 04.11.2019 року №13010-05/182, укладеної між Міністерством фінансів України, Міністерством розвитку громад та територій України (далі – Угода про передачу коштів позики); 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прогнозного графіку отримання позики та платежів з її погашення.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Погашення місцевого боргу, відповідно до Угоди про передачу коштів позики, у 2020 році здійснюватися не буде.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Структуру загальних виплат за типами платежів та валютами наведено в додатку 1 до цієї Програми.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Частка видатків з обслуговування місцевого боргу у видатках загального фонду міського бюджету на 2020 рік орієнтовно становитиме 0,0007%, та не перевищує 10-ти відсоткової межі, визначеної ст.74 Бюджетного кодексу України. </w:t>
      </w: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3. Боргові інструменти, за допомогою яких планується забезпечити фінансування міського бюджету у 2020 році </w:t>
      </w:r>
    </w:p>
    <w:p w:rsidR="00B06FDE" w:rsidRDefault="00B06FDE" w:rsidP="00B06FDE">
      <w:pPr>
        <w:ind w:firstLine="567"/>
        <w:jc w:val="center"/>
        <w:rPr>
          <w:b/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sz w:val="28"/>
          <w:szCs w:val="28"/>
          <w:lang w:val="uk-UA"/>
        </w:rPr>
      </w:pP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2020 рік фінансування міського бюджету заплановано у сумі                        </w:t>
      </w:r>
      <w:r>
        <w:rPr>
          <w:color w:val="000000"/>
          <w:sz w:val="28"/>
          <w:szCs w:val="28"/>
          <w:lang w:val="uk-UA"/>
        </w:rPr>
        <w:t>8,7</w:t>
      </w:r>
      <w:r>
        <w:rPr>
          <w:sz w:val="28"/>
          <w:szCs w:val="28"/>
          <w:lang w:val="uk-UA"/>
        </w:rPr>
        <w:t xml:space="preserve"> млн грн та буде здійснюватися відповідно до Угоди про передачу коштів позики.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боргових інструментів: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типом кредитора – внутрішнє фінансування за рахунок одержання  позики (100%);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типом боргового зобов’язання – внутрішнє довгострокове запозичення, з терміном погашення 22 роки; 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типом відсоткових ставок – боргові інструменти за плаваючою ставкою відповідно до умов Угоди про передачу коштів позики, а саме: шестимісячна Європейська міжбанківська ставка пропозиції (EURIBOR) + спред (до 2,5% ).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здійснення нових запозичень, перелік боргових інструментів та їх частка у структурі місцевого боргу може змінюватись.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позики залучаються до спеціального фонду міського бюджету для фінансування інвестиційного проєкту «Модернізація системи теплопостачання міста Кривого Рогу (І етап)».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Структуру фінансування міського бюджету наведено в додатку 2 до цієї Програми.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4. Структура місцевого боргу на 2020 рік </w:t>
      </w: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Станом на 31.12.2020 року, в структурі місцевого боргу на кінець року  внутрішній борг складає 100%.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Питома вага місцевого боргу в іноземній валюті -100%.</w:t>
      </w:r>
    </w:p>
    <w:p w:rsidR="00B06FDE" w:rsidRDefault="00B06FDE" w:rsidP="00B06FDE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Прогнозний середньозважений строк для погашення боргу</w:t>
      </w:r>
      <w:r>
        <w:rPr>
          <w:color w:val="000000"/>
          <w:sz w:val="28"/>
          <w:szCs w:val="28"/>
          <w:lang w:val="uk-UA"/>
        </w:rPr>
        <w:t xml:space="preserve"> становить 22 роки, за структурою – це 100% довгостроковий борговий інструмент.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5. Ризики, пов’язані з управлінням місцевим боргом</w:t>
      </w:r>
    </w:p>
    <w:p w:rsidR="00B06FDE" w:rsidRDefault="00B06FDE" w:rsidP="00B06FDE">
      <w:pPr>
        <w:spacing w:before="120"/>
        <w:ind w:firstLine="426"/>
        <w:jc w:val="center"/>
        <w:rPr>
          <w:b/>
          <w:i/>
          <w:sz w:val="28"/>
          <w:szCs w:val="28"/>
          <w:lang w:val="uk-UA"/>
        </w:rPr>
      </w:pP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управлінні місцевим боргом можливий валютний ризик внаслідок зміни офіційного курсу гривні до євро та відсотковий ризик у разі                   зростання плаваючої відсоткової ставки EURIBOR, які не будуть мати суттєвого впливу на виконання показників місцевого бюджету.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Оскільки показники витрат в міському бюджеті на обслуговування місцевого боргу є незначними, бюджетний ризик по програмі управління місцевим боргом відсутній.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6.</w:t>
      </w:r>
      <w:r>
        <w:rPr>
          <w:b/>
          <w:bCs/>
          <w:i/>
          <w:iCs/>
          <w:sz w:val="28"/>
          <w:szCs w:val="28"/>
          <w:lang w:val="uk-UA"/>
        </w:rPr>
        <w:t xml:space="preserve"> Організація управління та очікувані кінцеві результати виконання програми</w:t>
      </w:r>
    </w:p>
    <w:p w:rsidR="00B06FDE" w:rsidRDefault="00B06FDE" w:rsidP="00B06FDE">
      <w:pPr>
        <w:tabs>
          <w:tab w:val="left" w:pos="900"/>
        </w:tabs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06FDE" w:rsidRDefault="00B06FDE" w:rsidP="00B06FDE">
      <w:pPr>
        <w:tabs>
          <w:tab w:val="left" w:pos="900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ході виконання програми департаментом фінансів здійснюється контроль за ризиками, пов’язаними з управлінням місцевим боргом та заходи з моніторингу, аналізу і контролю за своєчасним і у повному обсязі виконанням зобов’язань за місцевим боргом.</w:t>
      </w:r>
    </w:p>
    <w:p w:rsidR="00B06FDE" w:rsidRDefault="00B06FDE" w:rsidP="00B06F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мінімізації ризиків, пов’язаних з управлінням місцевим боргом, департамент фінансів може здійснювати усі необхідні заходи у порядку, визначеному законодавством, у тому числі проводити операції з розміщення тимчасово вільних коштів міського бюджету на депозитних рахунках.</w:t>
      </w:r>
    </w:p>
    <w:p w:rsidR="00B06FDE" w:rsidRDefault="00B06FDE" w:rsidP="00B06FDE">
      <w:pPr>
        <w:tabs>
          <w:tab w:val="left" w:pos="900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моніторингу виконання програми, до неї можуть вноситися зміни та доповнення, у випадках, передбачених законодавством.</w:t>
      </w: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виконання програми планується досягти таких основних результатів:</w:t>
      </w:r>
      <w:bookmarkStart w:id="0" w:name="n103"/>
      <w:bookmarkEnd w:id="0"/>
    </w:p>
    <w:p w:rsidR="00B06FDE" w:rsidRDefault="00B06FDE" w:rsidP="00B06FDE">
      <w:pPr>
        <w:pStyle w:val="a5"/>
        <w:numPr>
          <w:ilvl w:val="0"/>
          <w:numId w:val="6"/>
        </w:numPr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управління місцевим боргом;</w:t>
      </w:r>
      <w:bookmarkStart w:id="1" w:name="n104"/>
      <w:bookmarkEnd w:id="1"/>
    </w:p>
    <w:p w:rsidR="00B06FDE" w:rsidRDefault="00B06FDE" w:rsidP="00B06FDE">
      <w:pPr>
        <w:pStyle w:val="a5"/>
        <w:numPr>
          <w:ilvl w:val="0"/>
          <w:numId w:val="6"/>
        </w:numPr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якісного обслуговування та </w:t>
      </w:r>
      <w:bookmarkStart w:id="2" w:name="_GoBack"/>
      <w:bookmarkEnd w:id="2"/>
      <w:r>
        <w:rPr>
          <w:sz w:val="28"/>
          <w:szCs w:val="28"/>
          <w:lang w:val="uk-UA"/>
        </w:rPr>
        <w:t>налагодження належного процесу адміністрування муніципального боргу;</w:t>
      </w:r>
    </w:p>
    <w:p w:rsidR="00B06FDE" w:rsidRDefault="00B06FDE" w:rsidP="00B06FDE">
      <w:pPr>
        <w:pStyle w:val="a5"/>
        <w:numPr>
          <w:ilvl w:val="0"/>
          <w:numId w:val="6"/>
        </w:numPr>
        <w:ind w:left="0" w:firstLine="360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прозорості та відкритості  операцій з місцевим боргом.</w:t>
      </w: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ind w:firstLine="567"/>
        <w:jc w:val="both"/>
        <w:rPr>
          <w:sz w:val="28"/>
          <w:szCs w:val="28"/>
          <w:lang w:val="uk-UA"/>
        </w:rPr>
      </w:pPr>
    </w:p>
    <w:p w:rsidR="00B06FDE" w:rsidRDefault="00B06FDE" w:rsidP="00B06FDE">
      <w:pPr>
        <w:tabs>
          <w:tab w:val="left" w:pos="7020"/>
        </w:tabs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Директор департаменту фінансів</w:t>
      </w:r>
    </w:p>
    <w:p w:rsidR="00B06FDE" w:rsidRDefault="00B06FDE" w:rsidP="00B06FDE">
      <w:pPr>
        <w:tabs>
          <w:tab w:val="left" w:pos="7020"/>
        </w:tabs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виконкому Криворізької міської ради                                        Олена Рожко</w:t>
      </w:r>
    </w:p>
    <w:p w:rsidR="00B06FDE" w:rsidRDefault="00B06FDE" w:rsidP="002A16FF">
      <w:pPr>
        <w:rPr>
          <w:bCs/>
          <w:i/>
          <w:iCs/>
          <w:sz w:val="19"/>
          <w:szCs w:val="19"/>
          <w:lang w:val="uk-UA"/>
        </w:rPr>
      </w:pPr>
    </w:p>
    <w:sectPr w:rsidR="00B06FDE" w:rsidSect="00B142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367"/>
    <w:multiLevelType w:val="hybridMultilevel"/>
    <w:tmpl w:val="0FA6C71E"/>
    <w:lvl w:ilvl="0" w:tplc="1A2C79E0">
      <w:start w:val="4"/>
      <w:numFmt w:val="bullet"/>
      <w:lvlText w:val="-"/>
      <w:lvlJc w:val="left"/>
      <w:pPr>
        <w:tabs>
          <w:tab w:val="num" w:pos="1011"/>
        </w:tabs>
        <w:ind w:left="1011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3E53E03"/>
    <w:multiLevelType w:val="hybridMultilevel"/>
    <w:tmpl w:val="0570E278"/>
    <w:lvl w:ilvl="0" w:tplc="E9146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5863FA"/>
    <w:multiLevelType w:val="hybridMultilevel"/>
    <w:tmpl w:val="DE563038"/>
    <w:lvl w:ilvl="0" w:tplc="516AA3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44642"/>
    <w:multiLevelType w:val="hybridMultilevel"/>
    <w:tmpl w:val="33ACD4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9E14EF"/>
    <w:multiLevelType w:val="hybridMultilevel"/>
    <w:tmpl w:val="EDE635DA"/>
    <w:lvl w:ilvl="0" w:tplc="92FA1B8A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39" w:hanging="360"/>
      </w:pPr>
    </w:lvl>
    <w:lvl w:ilvl="2" w:tplc="0422001B" w:tentative="1">
      <w:start w:val="1"/>
      <w:numFmt w:val="lowerRoman"/>
      <w:lvlText w:val="%3."/>
      <w:lvlJc w:val="right"/>
      <w:pPr>
        <w:ind w:left="2459" w:hanging="180"/>
      </w:pPr>
    </w:lvl>
    <w:lvl w:ilvl="3" w:tplc="0422000F" w:tentative="1">
      <w:start w:val="1"/>
      <w:numFmt w:val="decimal"/>
      <w:lvlText w:val="%4."/>
      <w:lvlJc w:val="left"/>
      <w:pPr>
        <w:ind w:left="3179" w:hanging="360"/>
      </w:pPr>
    </w:lvl>
    <w:lvl w:ilvl="4" w:tplc="04220019" w:tentative="1">
      <w:start w:val="1"/>
      <w:numFmt w:val="lowerLetter"/>
      <w:lvlText w:val="%5."/>
      <w:lvlJc w:val="left"/>
      <w:pPr>
        <w:ind w:left="3899" w:hanging="360"/>
      </w:pPr>
    </w:lvl>
    <w:lvl w:ilvl="5" w:tplc="0422001B" w:tentative="1">
      <w:start w:val="1"/>
      <w:numFmt w:val="lowerRoman"/>
      <w:lvlText w:val="%6."/>
      <w:lvlJc w:val="right"/>
      <w:pPr>
        <w:ind w:left="4619" w:hanging="180"/>
      </w:pPr>
    </w:lvl>
    <w:lvl w:ilvl="6" w:tplc="0422000F" w:tentative="1">
      <w:start w:val="1"/>
      <w:numFmt w:val="decimal"/>
      <w:lvlText w:val="%7."/>
      <w:lvlJc w:val="left"/>
      <w:pPr>
        <w:ind w:left="5339" w:hanging="360"/>
      </w:pPr>
    </w:lvl>
    <w:lvl w:ilvl="7" w:tplc="04220019" w:tentative="1">
      <w:start w:val="1"/>
      <w:numFmt w:val="lowerLetter"/>
      <w:lvlText w:val="%8."/>
      <w:lvlJc w:val="left"/>
      <w:pPr>
        <w:ind w:left="6059" w:hanging="360"/>
      </w:pPr>
    </w:lvl>
    <w:lvl w:ilvl="8" w:tplc="0422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5">
    <w:nsid w:val="7552293D"/>
    <w:multiLevelType w:val="hybridMultilevel"/>
    <w:tmpl w:val="066A726C"/>
    <w:lvl w:ilvl="0" w:tplc="68D08F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1A"/>
    <w:rsid w:val="0003003D"/>
    <w:rsid w:val="00057EA6"/>
    <w:rsid w:val="0009148A"/>
    <w:rsid w:val="000B029D"/>
    <w:rsid w:val="000E1A3C"/>
    <w:rsid w:val="000E2550"/>
    <w:rsid w:val="000E38EC"/>
    <w:rsid w:val="00120AA7"/>
    <w:rsid w:val="00140318"/>
    <w:rsid w:val="00144148"/>
    <w:rsid w:val="001F22E7"/>
    <w:rsid w:val="002170BB"/>
    <w:rsid w:val="00222829"/>
    <w:rsid w:val="0023043A"/>
    <w:rsid w:val="00244D22"/>
    <w:rsid w:val="00257954"/>
    <w:rsid w:val="00285673"/>
    <w:rsid w:val="002911D0"/>
    <w:rsid w:val="00295C8F"/>
    <w:rsid w:val="002A16FF"/>
    <w:rsid w:val="002B05D4"/>
    <w:rsid w:val="002F220A"/>
    <w:rsid w:val="003039CF"/>
    <w:rsid w:val="003411ED"/>
    <w:rsid w:val="00360364"/>
    <w:rsid w:val="003620CF"/>
    <w:rsid w:val="0038436C"/>
    <w:rsid w:val="003907A6"/>
    <w:rsid w:val="003A3AE3"/>
    <w:rsid w:val="003B63C9"/>
    <w:rsid w:val="003D061F"/>
    <w:rsid w:val="003D4F6B"/>
    <w:rsid w:val="003D77E1"/>
    <w:rsid w:val="00405AB2"/>
    <w:rsid w:val="00406E05"/>
    <w:rsid w:val="004171EE"/>
    <w:rsid w:val="00463B72"/>
    <w:rsid w:val="00470149"/>
    <w:rsid w:val="004B0489"/>
    <w:rsid w:val="004C6E23"/>
    <w:rsid w:val="004F18F5"/>
    <w:rsid w:val="004F74D6"/>
    <w:rsid w:val="00503051"/>
    <w:rsid w:val="00504CF2"/>
    <w:rsid w:val="0050782F"/>
    <w:rsid w:val="005173A3"/>
    <w:rsid w:val="005211E9"/>
    <w:rsid w:val="00524C71"/>
    <w:rsid w:val="00541F30"/>
    <w:rsid w:val="00550F85"/>
    <w:rsid w:val="00564E49"/>
    <w:rsid w:val="0057618F"/>
    <w:rsid w:val="00590B08"/>
    <w:rsid w:val="005A3104"/>
    <w:rsid w:val="005A484D"/>
    <w:rsid w:val="005C579F"/>
    <w:rsid w:val="005C64B9"/>
    <w:rsid w:val="005E6CDA"/>
    <w:rsid w:val="00605733"/>
    <w:rsid w:val="00607AF0"/>
    <w:rsid w:val="0063554E"/>
    <w:rsid w:val="00665C13"/>
    <w:rsid w:val="00674EF6"/>
    <w:rsid w:val="00687768"/>
    <w:rsid w:val="006B332B"/>
    <w:rsid w:val="006D6F7C"/>
    <w:rsid w:val="007015A1"/>
    <w:rsid w:val="0070560C"/>
    <w:rsid w:val="0074107F"/>
    <w:rsid w:val="00741478"/>
    <w:rsid w:val="0074258B"/>
    <w:rsid w:val="007559CC"/>
    <w:rsid w:val="007650FA"/>
    <w:rsid w:val="007965AB"/>
    <w:rsid w:val="007B2A2C"/>
    <w:rsid w:val="007B304C"/>
    <w:rsid w:val="007D4A7A"/>
    <w:rsid w:val="007E060A"/>
    <w:rsid w:val="007F05BC"/>
    <w:rsid w:val="008237BF"/>
    <w:rsid w:val="0083585D"/>
    <w:rsid w:val="008359C6"/>
    <w:rsid w:val="00835FC3"/>
    <w:rsid w:val="00853A1A"/>
    <w:rsid w:val="0087185D"/>
    <w:rsid w:val="00873C3B"/>
    <w:rsid w:val="00884ED2"/>
    <w:rsid w:val="00892AEE"/>
    <w:rsid w:val="008934EC"/>
    <w:rsid w:val="008D573A"/>
    <w:rsid w:val="008E73FF"/>
    <w:rsid w:val="008F3C66"/>
    <w:rsid w:val="009109C8"/>
    <w:rsid w:val="009252DD"/>
    <w:rsid w:val="0093010F"/>
    <w:rsid w:val="0095343D"/>
    <w:rsid w:val="00956079"/>
    <w:rsid w:val="00991AC0"/>
    <w:rsid w:val="00992D73"/>
    <w:rsid w:val="009C1468"/>
    <w:rsid w:val="009D06CE"/>
    <w:rsid w:val="009D072D"/>
    <w:rsid w:val="009E3890"/>
    <w:rsid w:val="009F0E4A"/>
    <w:rsid w:val="00A34E18"/>
    <w:rsid w:val="00A4006C"/>
    <w:rsid w:val="00A44255"/>
    <w:rsid w:val="00A54BA2"/>
    <w:rsid w:val="00A8068F"/>
    <w:rsid w:val="00AA0DB4"/>
    <w:rsid w:val="00AA21E3"/>
    <w:rsid w:val="00AD2A30"/>
    <w:rsid w:val="00AE1F35"/>
    <w:rsid w:val="00AE78A9"/>
    <w:rsid w:val="00B06FDE"/>
    <w:rsid w:val="00B1422C"/>
    <w:rsid w:val="00B163EB"/>
    <w:rsid w:val="00B33098"/>
    <w:rsid w:val="00B42609"/>
    <w:rsid w:val="00B6226E"/>
    <w:rsid w:val="00B73D0C"/>
    <w:rsid w:val="00B866D1"/>
    <w:rsid w:val="00B96985"/>
    <w:rsid w:val="00BA5A25"/>
    <w:rsid w:val="00BA701F"/>
    <w:rsid w:val="00BB48B6"/>
    <w:rsid w:val="00BE71A2"/>
    <w:rsid w:val="00C02EA7"/>
    <w:rsid w:val="00C37D75"/>
    <w:rsid w:val="00C518B4"/>
    <w:rsid w:val="00C55D5B"/>
    <w:rsid w:val="00C6276B"/>
    <w:rsid w:val="00C843FE"/>
    <w:rsid w:val="00C93496"/>
    <w:rsid w:val="00CB15D3"/>
    <w:rsid w:val="00CD5FAE"/>
    <w:rsid w:val="00CF50D5"/>
    <w:rsid w:val="00D30941"/>
    <w:rsid w:val="00D62C94"/>
    <w:rsid w:val="00D80E02"/>
    <w:rsid w:val="00DE009E"/>
    <w:rsid w:val="00DE25A3"/>
    <w:rsid w:val="00E11CD1"/>
    <w:rsid w:val="00E504E5"/>
    <w:rsid w:val="00E768F9"/>
    <w:rsid w:val="00E824C7"/>
    <w:rsid w:val="00E826BE"/>
    <w:rsid w:val="00E90687"/>
    <w:rsid w:val="00E95E91"/>
    <w:rsid w:val="00EA3B8F"/>
    <w:rsid w:val="00ED17BC"/>
    <w:rsid w:val="00ED2B21"/>
    <w:rsid w:val="00EE2BEF"/>
    <w:rsid w:val="00F320A6"/>
    <w:rsid w:val="00F548FE"/>
    <w:rsid w:val="00FC6B7D"/>
    <w:rsid w:val="00FC70FF"/>
    <w:rsid w:val="00FC7B78"/>
    <w:rsid w:val="00FE5887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03051"/>
    <w:pPr>
      <w:keepNext/>
      <w:outlineLvl w:val="1"/>
    </w:pPr>
    <w:rPr>
      <w:rFonts w:ascii="Bookman Old Style" w:hAnsi="Bookman Old Style"/>
      <w:i/>
      <w:i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03051"/>
    <w:rPr>
      <w:rFonts w:ascii="Bookman Old Style" w:hAnsi="Bookman Old Style" w:cs="Times New Roman"/>
      <w:i/>
      <w:iCs/>
      <w:sz w:val="24"/>
      <w:szCs w:val="24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853A1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B14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1422C"/>
    <w:rPr>
      <w:rFonts w:ascii="Tahoma" w:hAnsi="Tahoma" w:cs="Tahoma"/>
      <w:sz w:val="16"/>
      <w:szCs w:val="16"/>
      <w:lang w:eastAsia="ru-RU"/>
    </w:rPr>
  </w:style>
  <w:style w:type="character" w:customStyle="1" w:styleId="xfmc2">
    <w:name w:val="xfmc2"/>
    <w:uiPriority w:val="99"/>
    <w:rsid w:val="00DE25A3"/>
    <w:rPr>
      <w:rFonts w:cs="Times New Roman"/>
    </w:rPr>
  </w:style>
  <w:style w:type="paragraph" w:styleId="a5">
    <w:name w:val="List Paragraph"/>
    <w:basedOn w:val="a"/>
    <w:uiPriority w:val="99"/>
    <w:qFormat/>
    <w:rsid w:val="0063554E"/>
    <w:pPr>
      <w:ind w:left="720"/>
      <w:contextualSpacing/>
    </w:pPr>
  </w:style>
  <w:style w:type="character" w:styleId="a6">
    <w:name w:val="Hyperlink"/>
    <w:uiPriority w:val="99"/>
    <w:rsid w:val="007965A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03051"/>
    <w:pPr>
      <w:keepNext/>
      <w:outlineLvl w:val="1"/>
    </w:pPr>
    <w:rPr>
      <w:rFonts w:ascii="Bookman Old Style" w:hAnsi="Bookman Old Style"/>
      <w:i/>
      <w:i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03051"/>
    <w:rPr>
      <w:rFonts w:ascii="Bookman Old Style" w:hAnsi="Bookman Old Style" w:cs="Times New Roman"/>
      <w:i/>
      <w:iCs/>
      <w:sz w:val="24"/>
      <w:szCs w:val="24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853A1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B14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1422C"/>
    <w:rPr>
      <w:rFonts w:ascii="Tahoma" w:hAnsi="Tahoma" w:cs="Tahoma"/>
      <w:sz w:val="16"/>
      <w:szCs w:val="16"/>
      <w:lang w:eastAsia="ru-RU"/>
    </w:rPr>
  </w:style>
  <w:style w:type="character" w:customStyle="1" w:styleId="xfmc2">
    <w:name w:val="xfmc2"/>
    <w:uiPriority w:val="99"/>
    <w:rsid w:val="00DE25A3"/>
    <w:rPr>
      <w:rFonts w:cs="Times New Roman"/>
    </w:rPr>
  </w:style>
  <w:style w:type="paragraph" w:styleId="a5">
    <w:name w:val="List Paragraph"/>
    <w:basedOn w:val="a"/>
    <w:uiPriority w:val="99"/>
    <w:qFormat/>
    <w:rsid w:val="0063554E"/>
    <w:pPr>
      <w:ind w:left="720"/>
      <w:contextualSpacing/>
    </w:pPr>
  </w:style>
  <w:style w:type="character" w:styleId="a6">
    <w:name w:val="Hyperlink"/>
    <w:uiPriority w:val="99"/>
    <w:rsid w:val="007965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f_income418</dc:creator>
  <cp:lastModifiedBy>f_analysis418</cp:lastModifiedBy>
  <cp:revision>22</cp:revision>
  <cp:lastPrinted>2020-01-11T06:58:00Z</cp:lastPrinted>
  <dcterms:created xsi:type="dcterms:W3CDTF">2020-01-03T12:03:00Z</dcterms:created>
  <dcterms:modified xsi:type="dcterms:W3CDTF">2020-01-23T14:00:00Z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-1397469906</vt:i4>
  </property>
</Properties>
</file>